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theme="minorBidi"/>
          <w:b/>
          <w:bCs/>
          <w:sz w:val="32"/>
          <w:szCs w:val="32"/>
        </w:rPr>
      </w:pPr>
      <w:r>
        <w:rPr>
          <w:rFonts w:hint="eastAsia" w:ascii="仿宋" w:hAnsi="仿宋" w:eastAsia="仿宋" w:cstheme="minorBidi"/>
          <w:b/>
          <w:bCs/>
          <w:sz w:val="32"/>
          <w:szCs w:val="32"/>
        </w:rPr>
        <w:t>中方县住房和城乡建设局202</w:t>
      </w:r>
      <w:r>
        <w:rPr>
          <w:rFonts w:hint="eastAsia" w:ascii="仿宋" w:hAnsi="仿宋" w:eastAsia="仿宋" w:cstheme="minorBidi"/>
          <w:b/>
          <w:bCs/>
          <w:sz w:val="32"/>
          <w:szCs w:val="32"/>
          <w:lang w:val="en-US" w:eastAsia="zh-CN"/>
        </w:rPr>
        <w:t>2</w:t>
      </w:r>
      <w:r>
        <w:rPr>
          <w:rFonts w:hint="eastAsia" w:ascii="仿宋" w:hAnsi="仿宋" w:eastAsia="仿宋" w:cstheme="minorBidi"/>
          <w:b/>
          <w:bCs/>
          <w:sz w:val="32"/>
          <w:szCs w:val="32"/>
        </w:rPr>
        <w:t>年</w:t>
      </w:r>
      <w:r>
        <w:rPr>
          <w:rFonts w:hint="eastAsia" w:ascii="仿宋" w:hAnsi="仿宋" w:eastAsia="仿宋" w:cstheme="minorBidi"/>
          <w:b/>
          <w:bCs/>
          <w:sz w:val="32"/>
          <w:szCs w:val="32"/>
          <w:lang w:eastAsia="zh-CN"/>
        </w:rPr>
        <w:t>度</w:t>
      </w:r>
      <w:r>
        <w:rPr>
          <w:rFonts w:hint="eastAsia" w:ascii="仿宋" w:hAnsi="仿宋" w:eastAsia="仿宋" w:cstheme="minorBidi"/>
          <w:b/>
          <w:bCs/>
          <w:sz w:val="32"/>
          <w:szCs w:val="32"/>
        </w:rPr>
        <w:t>中方县</w:t>
      </w:r>
      <w:r>
        <w:rPr>
          <w:rFonts w:hint="eastAsia" w:ascii="仿宋" w:hAnsi="仿宋" w:eastAsia="仿宋" w:cstheme="minorBidi"/>
          <w:b/>
          <w:bCs/>
          <w:sz w:val="32"/>
          <w:szCs w:val="32"/>
          <w:lang w:eastAsia="zh-CN"/>
        </w:rPr>
        <w:t>乡</w:t>
      </w:r>
      <w:r>
        <w:rPr>
          <w:rFonts w:hint="eastAsia" w:ascii="仿宋" w:hAnsi="仿宋" w:eastAsia="仿宋" w:cstheme="minorBidi"/>
          <w:b/>
          <w:bCs/>
          <w:sz w:val="32"/>
          <w:szCs w:val="32"/>
        </w:rPr>
        <w:t>镇污水处理厂及配套管网工程项目支出绩效自评报告</w:t>
      </w:r>
    </w:p>
    <w:p>
      <w:pPr>
        <w:ind w:firstLine="620" w:firstLineChars="200"/>
        <w:rPr>
          <w:rFonts w:hint="eastAsia" w:ascii="仿宋_GB2312" w:hAnsi="微软雅黑" w:eastAsia="仿宋_GB2312" w:cs="仿宋_GB2312"/>
          <w:color w:val="4C4C4C"/>
          <w:kern w:val="0"/>
          <w:sz w:val="31"/>
          <w:szCs w:val="31"/>
          <w:shd w:val="clear" w:color="auto" w:fill="FFFFFF"/>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一、项目基本情况</w:t>
      </w:r>
    </w:p>
    <w:p>
      <w:pPr>
        <w:spacing w:line="520" w:lineRule="exact"/>
        <w:ind w:firstLine="620" w:firstLineChars="200"/>
        <w:rPr>
          <w:rFonts w:hint="eastAsia" w:ascii="仿宋" w:hAnsi="仿宋" w:eastAsia="仿宋" w:cs="仿宋"/>
          <w:bCs/>
          <w:sz w:val="32"/>
          <w:szCs w:val="32"/>
          <w:lang w:val="en-US" w:eastAsia="zh-CN"/>
        </w:rPr>
      </w:pPr>
      <w:r>
        <w:rPr>
          <w:rFonts w:hint="eastAsia" w:ascii="仿宋_GB2312" w:hAnsi="微软雅黑" w:eastAsia="仿宋_GB2312" w:cs="仿宋_GB2312"/>
          <w:color w:val="4C4C4C"/>
          <w:kern w:val="0"/>
          <w:sz w:val="31"/>
          <w:szCs w:val="31"/>
          <w:shd w:val="clear" w:color="auto" w:fill="FFFFFF"/>
          <w:lang w:val="en-US" w:eastAsia="zh-CN" w:bidi="ar-SA"/>
        </w:rPr>
        <w:t>（</w:t>
      </w:r>
      <w:r>
        <w:rPr>
          <w:rFonts w:hint="eastAsia" w:ascii="仿宋" w:hAnsi="仿宋" w:eastAsia="仿宋" w:cs="仿宋"/>
          <w:bCs/>
          <w:sz w:val="32"/>
          <w:szCs w:val="32"/>
          <w:lang w:val="en-US" w:eastAsia="zh-CN"/>
        </w:rPr>
        <w:t>一）项目概况</w:t>
      </w:r>
    </w:p>
    <w:p>
      <w:pPr>
        <w:spacing w:line="520" w:lineRule="exact"/>
        <w:ind w:firstLine="640" w:firstLineChars="200"/>
        <w:rPr>
          <w:rFonts w:hint="eastAsia" w:ascii="仿宋" w:hAnsi="仿宋" w:eastAsia="仿宋" w:cs="仿宋"/>
          <w:bCs/>
          <w:sz w:val="32"/>
          <w:szCs w:val="32"/>
          <w:lang w:eastAsia="zh-CN"/>
        </w:rPr>
      </w:pPr>
      <w:r>
        <w:rPr>
          <w:rFonts w:hint="eastAsia" w:ascii="仿宋" w:hAnsi="仿宋" w:eastAsia="仿宋" w:cs="仿宋"/>
          <w:bCs/>
          <w:sz w:val="32"/>
          <w:szCs w:val="32"/>
        </w:rPr>
        <w:t>根据《湖南省人民政府乡镇污水处理设施建设四年行动实施方案（2019一2022）》（湘政办发[2019]43号）文件要求和省住建厅《关于核准确认2019一2022年乡镇污水处理设施任务的通知》精神，202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年我县</w:t>
      </w:r>
      <w:r>
        <w:rPr>
          <w:rFonts w:hint="eastAsia" w:ascii="仿宋" w:hAnsi="仿宋" w:eastAsia="仿宋" w:cs="仿宋"/>
          <w:bCs/>
          <w:sz w:val="32"/>
          <w:szCs w:val="32"/>
          <w:lang w:eastAsia="zh-CN"/>
        </w:rPr>
        <w:t>新建</w:t>
      </w:r>
      <w:r>
        <w:rPr>
          <w:rFonts w:hint="eastAsia" w:ascii="仿宋" w:hAnsi="仿宋" w:eastAsia="仿宋" w:cs="仿宋"/>
          <w:bCs/>
          <w:sz w:val="32"/>
          <w:szCs w:val="32"/>
        </w:rPr>
        <w:t>、</w:t>
      </w:r>
      <w:r>
        <w:rPr>
          <w:rFonts w:hint="eastAsia" w:ascii="仿宋" w:hAnsi="仿宋" w:eastAsia="仿宋" w:cs="仿宋"/>
          <w:bCs/>
          <w:sz w:val="32"/>
          <w:szCs w:val="32"/>
          <w:lang w:eastAsia="zh-CN"/>
        </w:rPr>
        <w:t>袁家、接龙</w:t>
      </w:r>
      <w:r>
        <w:rPr>
          <w:rFonts w:hint="eastAsia" w:ascii="仿宋" w:hAnsi="仿宋" w:eastAsia="仿宋" w:cs="仿宋"/>
          <w:bCs/>
          <w:sz w:val="32"/>
          <w:szCs w:val="32"/>
        </w:rPr>
        <w:t>和</w:t>
      </w:r>
      <w:r>
        <w:rPr>
          <w:rFonts w:hint="eastAsia" w:ascii="仿宋" w:hAnsi="仿宋" w:eastAsia="仿宋" w:cs="仿宋"/>
          <w:bCs/>
          <w:sz w:val="32"/>
          <w:szCs w:val="32"/>
          <w:lang w:eastAsia="zh-CN"/>
        </w:rPr>
        <w:t>铁坡</w:t>
      </w:r>
      <w:r>
        <w:rPr>
          <w:rFonts w:hint="eastAsia" w:ascii="仿宋" w:hAnsi="仿宋" w:eastAsia="仿宋" w:cs="仿宋"/>
          <w:bCs/>
          <w:sz w:val="32"/>
          <w:szCs w:val="32"/>
        </w:rPr>
        <w:t>镇污水处理设施及配套管网工程建设纳入污染防治“夏季攻势”，202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年12月10日前建成通水。</w:t>
      </w:r>
      <w:r>
        <w:rPr>
          <w:rFonts w:hint="eastAsia" w:ascii="仿宋" w:hAnsi="仿宋" w:eastAsia="仿宋" w:cs="仿宋"/>
          <w:bCs/>
          <w:sz w:val="32"/>
          <w:szCs w:val="32"/>
          <w:lang w:eastAsia="zh-CN"/>
        </w:rPr>
        <w:t>基本情况：</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新建镇污水处理设施及配套管网工程：选址新建镇派出所对面，建设用地面积867.8m2，两处高效好氧模块各占地约30m2；建设规模处理厂300t/d，模块各20t/d；配套管道管网1.6km；土建部分造价600.8965万元，其中配套管网363.2876万元，厂区部分237.6088万元。现已完成管网长度700米，厂站已完成，设备已进场安装，准备进行围墙等附属施工，现正在试运营。</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接龙镇污水处理设施及配套管网工程：选址接龙加油站旁边，建设用地面积488.18m2，其中构筑物占地面积171.17m2，；建设规模100t/d，配套管道主管网1.88km；土建部分605.9961万元，其中配套管网426.2116万元，厂区部分179.7845万元。现已完成管网长度1700米，主体结构已完工，设备已进场安装，准备进行围墙等附属施工，现正在试运营。</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铁坡镇污水处理设施及配套管网工程：位于铁坡往锦溪村路边，建设用地面积841.6m2，污水处理厂构筑物占地面积：167.5m2；处理厂建设规模100t/d，污水模块规模30t/d，配套管道主管网0.32km；土建部分造价291.6319万元，其中配套管网139.8302万元，厂区部分151.8017万元。现已完成管网长度180米，主体结构已完工，设备已进场安装，准备进行围墙等附属施工，现正在试运营。</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袁家镇污水处理设施及配套管网工程：位于袁家客运一体化站场对面，建设用地面积1035.9m2，构筑物面积169.3m2；建设规模100t/d,配套管网主管网1935m；土建部分造价610.9902万元，其中配套管网431.6047万元，厂区部分179.3855万元。现已完成管网长度1800米，主体结构已完成，现正在试运营。</w:t>
      </w:r>
    </w:p>
    <w:p>
      <w:pPr>
        <w:spacing w:line="520" w:lineRule="exact"/>
        <w:ind w:firstLine="640" w:firstLineChars="200"/>
        <w:rPr>
          <w:rFonts w:hint="default" w:ascii="仿宋" w:hAnsi="仿宋" w:eastAsia="仿宋" w:cs="仿宋"/>
          <w:bCs/>
          <w:sz w:val="32"/>
          <w:szCs w:val="32"/>
          <w:lang w:val="en-US" w:eastAsia="zh-CN"/>
        </w:rPr>
      </w:pPr>
      <w:r>
        <w:rPr>
          <w:rFonts w:hint="eastAsia" w:ascii="仿宋" w:hAnsi="仿宋" w:eastAsia="仿宋" w:cs="仿宋"/>
          <w:bCs/>
          <w:sz w:val="32"/>
          <w:szCs w:val="32"/>
        </w:rPr>
        <w:t>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年12月10日完成了</w:t>
      </w:r>
      <w:r>
        <w:rPr>
          <w:rFonts w:hint="eastAsia" w:ascii="仿宋" w:hAnsi="仿宋" w:eastAsia="仿宋" w:cs="仿宋"/>
          <w:bCs/>
          <w:sz w:val="32"/>
          <w:szCs w:val="32"/>
          <w:lang w:eastAsia="zh-CN"/>
        </w:rPr>
        <w:t>四</w:t>
      </w:r>
      <w:r>
        <w:rPr>
          <w:rFonts w:hint="eastAsia" w:ascii="仿宋" w:hAnsi="仿宋" w:eastAsia="仿宋" w:cs="仿宋"/>
          <w:bCs/>
          <w:sz w:val="32"/>
          <w:szCs w:val="32"/>
        </w:rPr>
        <w:t>个污水处理设施及配套管网工程项目建设，12月10日完成了</w:t>
      </w:r>
      <w:r>
        <w:rPr>
          <w:rFonts w:hint="eastAsia" w:ascii="仿宋" w:hAnsi="仿宋" w:eastAsia="仿宋" w:cs="仿宋"/>
          <w:bCs/>
          <w:sz w:val="32"/>
          <w:szCs w:val="32"/>
          <w:lang w:eastAsia="zh-CN"/>
        </w:rPr>
        <w:t>四</w:t>
      </w:r>
      <w:r>
        <w:rPr>
          <w:rFonts w:hint="eastAsia" w:ascii="仿宋" w:hAnsi="仿宋" w:eastAsia="仿宋" w:cs="仿宋"/>
          <w:bCs/>
          <w:sz w:val="32"/>
          <w:szCs w:val="32"/>
        </w:rPr>
        <w:t>个污水处理一体化设备的安装和调试工作，并进行了试运营。</w:t>
      </w:r>
      <w:r>
        <w:rPr>
          <w:rFonts w:hint="eastAsia" w:ascii="仿宋" w:hAnsi="仿宋" w:eastAsia="仿宋" w:cs="仿宋"/>
          <w:bCs/>
          <w:sz w:val="32"/>
          <w:szCs w:val="32"/>
          <w:lang w:val="en-US" w:eastAsia="zh-CN"/>
        </w:rPr>
        <w:t>2022年财政拨付资金2677.99万元，按照合同支付项目进度款2677.99万元。</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 xml:space="preserve">   （二）项目绩效目标</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总体目标：农村人居环境整治三年行动有利于加快补齐农村人居环境短板，打好乡村振兴第一仗，提升农村人居环境水平和生态质量，逐步解决城乡发展不平衡、农村发展不充分的矛盾，增强农民群众获得感和幸福感。</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2、阶段性目标：完成202</w:t>
      </w:r>
      <w:r>
        <w:rPr>
          <w:rFonts w:hint="eastAsia" w:ascii="仿宋" w:hAnsi="仿宋" w:eastAsia="仿宋" w:cs="仿宋"/>
          <w:bCs/>
          <w:sz w:val="32"/>
          <w:szCs w:val="32"/>
          <w:lang w:val="en-US" w:eastAsia="zh-CN"/>
        </w:rPr>
        <w:t>2</w:t>
      </w:r>
      <w:r>
        <w:rPr>
          <w:rFonts w:hint="eastAsia" w:ascii="仿宋" w:hAnsi="仿宋" w:eastAsia="仿宋" w:cs="仿宋"/>
          <w:bCs/>
          <w:sz w:val="32"/>
          <w:szCs w:val="32"/>
        </w:rPr>
        <w:t>年度桐木镇、花桥和新路河镇污水处理设施及配套管网工程项目建设，完成桐木镇、花桥和新路河镇污水处理一体化设备采购，并投入运营。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二、绩效评价工作开展情况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（一）绩效评价目的、对象和范围</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评价目的：加强和规范资金管理，提高资金使用效益；建立健全绩效评价机制，更好实现资金管理目标。</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本次绩效评价的对象和范围：2022年中方县新建、袁家、接龙和铁坡镇污水处理设施及配套管网工程建设单位、新建、袁家、接龙和铁坡镇污水处理一体化设备采购单位和主管单位。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（二）绩效评价原则、评价指标体系、评价方法、评价标准</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绩效评价原则：（1）客观、科学、公正的原则；（2）综合绩效评价的原则；（3）定量分析与定性分析的原则；（4）统筹规划、稳步推进的原则；（5）财政支出绩效评价与财政支出管理相结合的原则；（6）财政支出绩效评价贯彻事前、事中、事后的原则。</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2、评价方法：因素分析法。</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3、评价指标体系详见附表。</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（三）绩效评价工作过程</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xml:space="preserve">  2023年4月15日，成立了由本局潘科夫副局长主管，财务室牵头，城乡和人防建设管理股、建筑和人防工程管理股、科技与设计管理股、乡村建设事业服务中心、房地产监管股等股室参与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各业务股室填写&lt;&lt;项目支出绩效自评表&gt;&gt;进行自评。然后再运用科学、合理的绩效评价指标、评价标准和方法，组织开展绩效评价，撰写本项目的绩效评价报告。</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楷体" w:cs="Times New Roman"/>
          <w:b/>
          <w:kern w:val="2"/>
          <w:sz w:val="32"/>
          <w:szCs w:val="32"/>
          <w:lang w:val="en-US" w:eastAsia="zh-CN" w:bidi="ar-SA"/>
        </w:rPr>
      </w:pPr>
      <w:r>
        <w:rPr>
          <w:rStyle w:val="10"/>
          <w:rFonts w:hint="eastAsia" w:ascii="楷体" w:hAnsi="楷体" w:eastAsia="楷体" w:cs="楷体"/>
          <w:color w:val="4C4C4C"/>
          <w:sz w:val="31"/>
          <w:szCs w:val="31"/>
          <w:shd w:val="clear" w:color="auto" w:fill="FFFFFF"/>
        </w:rPr>
        <w:t>  </w:t>
      </w:r>
      <w:r>
        <w:rPr>
          <w:rFonts w:hint="eastAsia" w:ascii="Times New Roman" w:hAnsi="Times New Roman" w:eastAsia="楷体" w:cs="Times New Roman"/>
          <w:b/>
          <w:kern w:val="2"/>
          <w:sz w:val="32"/>
          <w:szCs w:val="32"/>
          <w:lang w:val="en-US" w:eastAsia="zh-CN" w:bidi="ar-SA"/>
        </w:rPr>
        <w:t> 三、综合评价情况及评价结论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（一）综合评价情况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项目做到了管理规范，操作阳光透明，运行有序高效，服务态度优质，群众满意度高。</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在资金管理上，严格按照规定，实行专账管理，确保了污水处理设施及配套管网工程项目及污水处理一体化设备采购项目资金及时支付到位。</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（二）评价结论</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度新建、袁家、接龙和铁坡镇污水处理设施及配套管网工程项目及新建、袁家、接龙和铁坡镇污水处理一体化设备采购项目专项资金，达到了绩效目标要求，确保了我县新建、袁家、接龙和铁坡镇污水处理的减量化、无害化和资源化工作，全面提升了镇村环境卫生品位。项目管理规范，资金管理安全，资金拨付及时到位，社会效益比较显著，群众满意率高。</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按照《2022年新建、袁家、接龙和铁坡镇污水处理设施及配套管网工程项目及新建、袁家、接龙和铁坡镇污水处理一体化设备采购项目支出绩效评价指标体系》，评价工作组采用因素分析法对该项目支出绩效进行评价的评分分值为92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 四、绩效评价指标分析情况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（一）项目决策情况：</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立项：中方县第五届人民政府第44次常务会议同意实施新建、袁家、接龙和铁坡镇污水处理设施项目，由副县长周怀志牵头，县住建局为牵头部门，县财政局、县农业农村局、县审计局、新建、袁家、接龙和铁坡镇等相关部门配合。该项目立项依据充分、程序规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xml:space="preserve"> 2、绩效目标：该项目设立了科学合理的绩效指标体系，一级指标三个，二级指标9个，三级指标13个，指标清晰、细化、可衡量，能反映和考核项目绩效目标的明化情况。</w:t>
      </w:r>
    </w:p>
    <w:p>
      <w:pPr>
        <w:spacing w:line="520" w:lineRule="exact"/>
        <w:ind w:firstLine="640" w:firstLineChars="20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3、资金投入：项目资金根据县财政预算，接合项目投资实际情况，投资额与工作任务相匹配，资金分配额度合理，具有一定的科学性和合理性。项目工程中标金额2677.99万元，资金全部由县财政予以保障。</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（二）项目过程情况分析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１、项目资金到位情况分析</w:t>
      </w:r>
    </w:p>
    <w:p>
      <w:pPr>
        <w:spacing w:line="520" w:lineRule="exact"/>
        <w:ind w:firstLine="640" w:firstLineChars="200"/>
        <w:rPr>
          <w:rFonts w:hint="default" w:ascii="仿宋" w:hAnsi="仿宋" w:eastAsia="仿宋" w:cs="仿宋"/>
          <w:bCs/>
          <w:sz w:val="32"/>
          <w:szCs w:val="32"/>
          <w:lang w:val="en-US" w:eastAsia="zh-CN"/>
        </w:rPr>
      </w:pPr>
      <w:r>
        <w:rPr>
          <w:rFonts w:hint="eastAsia" w:ascii="仿宋" w:hAnsi="仿宋" w:eastAsia="仿宋" w:cs="仿宋"/>
          <w:bCs/>
          <w:sz w:val="32"/>
          <w:szCs w:val="32"/>
          <w:lang w:val="en-US" w:eastAsia="zh-CN"/>
        </w:rPr>
        <w:t>2022年中财预［2021］74号预算批复公共财政预算拨款1000万元。中财农指[2022]0081号下达指标107 万元，中财预基指[2021]0340号下达指标43.8543万元、中财预基指[2021]0374号下达指标1748.0463万元。</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2、项目资金使用情况分析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2022年度按照合同累计支付进度款1280万元。</w:t>
      </w:r>
      <w:r>
        <w:rPr>
          <w:rFonts w:hint="eastAsia" w:ascii="仿宋" w:hAnsi="仿宋" w:eastAsia="仿宋" w:cs="仿宋"/>
          <w:bCs/>
          <w:sz w:val="32"/>
          <w:szCs w:val="32"/>
          <w:lang w:val="en-US" w:eastAsia="zh-CN"/>
        </w:rPr>
        <w:tab/>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3、项目资金管理情况分析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新建、袁家、接龙和铁坡镇污水处理设施及配套管网工程项目及新建、袁家、接龙和铁坡镇污水处理一体化设备采购项目项目资金及时足额拨付到位，没有出现违规使用资金行为，使项目的实施得到了资金的保障。资金的拨付有完整的审批程序和手续，建立了项目财务管理制度，即专户管理、项目资金预拔和清算、财务公开公示、实行质量保证金等四项制度。所有项目开支通过国库集中支付，施工单位领款时必须提供工程施工合同、工程结算单、发票等，财务手续齐全。</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（三）项目产出情况分析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2022年中方县新建、袁家、接龙和铁坡镇污水处理设施及配套管网工程项目及新建、袁家、接龙和铁坡镇污水处理一体化设备采购项目，严格按照确定的服务内容开展项目服务工作，结算至12月31日，经我局乡村办等相关部门考核，验收合格。项目考核实施情况分析如下：</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1、污水处理：包括定时人员对设备运行进行观察、定期台账填写、定期进行出水口水质检测，以上五项分值共50分，考核评分45分，合格。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2、污水厂保洁及管理：包括污水厂内无垃圾整洁、人员管理共4项，共6分。该项通过实地检查与查阅资料方式，考核得分为5分，合格。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3、综合评价：分三大项七小项，分值44分，经考核共得分40分，合格。</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（四）项目效益情况分析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1、项目经济性分析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项目成本（预算）使用合理，无超支。</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2、项目的效率性分析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（1）项目的实施进度。2022年12月10日完成了新建、袁家、接龙和铁坡镇污水处理设施及配套管网工程项目建设，12月30日完成了新建、袁家、接龙和铁坡镇污水处理一体化设备的安装和调试工作，并进行了试运。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（2）项目完成质量。新建、袁家、接龙和铁坡镇污水处理工程建设符合标准，满足污水处理营运要求。一体化设备的安装和调试工作符合规范，设备运行正常。</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3、项目的效益性分析</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1）项目预期目标完成程度。项目目标实现，保证了桐木、花桥和新路河镇污水得到有效的处理，建立起了资金来源稳定、管理运行规范、效果明显的镇乡污水处理营运制度，为今后全面推进我县镇乡污水处理一体化进程提供了保贵的经验。</w:t>
      </w:r>
    </w:p>
    <w:p>
      <w:pPr>
        <w:spacing w:line="520" w:lineRule="exact"/>
        <w:ind w:firstLine="640" w:firstLineChars="200"/>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（2）项目实施对经济和社会的影响。通过项目实施，使相关镇乡污水得到有效的处理，全面提升了当地生态环境卫生质量。</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楷体" w:cs="Times New Roman"/>
          <w:b/>
          <w:kern w:val="2"/>
          <w:sz w:val="32"/>
          <w:szCs w:val="32"/>
          <w:lang w:val="en-US" w:eastAsia="zh-CN" w:bidi="ar-SA"/>
        </w:rPr>
      </w:pPr>
      <w:r>
        <w:rPr>
          <w:rStyle w:val="10"/>
          <w:rFonts w:hint="eastAsia" w:ascii="楷体" w:hAnsi="楷体" w:eastAsia="楷体" w:cs="楷体"/>
          <w:color w:val="4C4C4C"/>
          <w:sz w:val="31"/>
          <w:szCs w:val="31"/>
          <w:shd w:val="clear" w:color="auto" w:fill="FFFFFF"/>
        </w:rPr>
        <w:t> </w:t>
      </w:r>
      <w:r>
        <w:rPr>
          <w:rFonts w:hint="eastAsia" w:ascii="Times New Roman" w:hAnsi="Times New Roman" w:eastAsia="楷体" w:cs="Times New Roman"/>
          <w:b/>
          <w:kern w:val="2"/>
          <w:sz w:val="32"/>
          <w:szCs w:val="32"/>
          <w:lang w:val="en-US" w:eastAsia="zh-CN" w:bidi="ar-SA"/>
        </w:rPr>
        <w:t>五、主要经验及做法、存在的问题及原因分析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微软雅黑" w:eastAsia="仿宋_GB2312" w:cs="仿宋_GB2312"/>
          <w:color w:val="4C4C4C"/>
          <w:sz w:val="31"/>
          <w:szCs w:val="31"/>
          <w:shd w:val="clear" w:color="auto" w:fill="FFFFFF"/>
        </w:rPr>
      </w:pPr>
      <w:r>
        <w:rPr>
          <w:rFonts w:hint="eastAsia" w:ascii="仿宋_GB2312" w:hAnsi="微软雅黑" w:eastAsia="仿宋_GB2312" w:cs="仿宋_GB2312"/>
          <w:color w:val="4C4C4C"/>
          <w:sz w:val="31"/>
          <w:szCs w:val="31"/>
          <w:shd w:val="clear" w:color="auto" w:fill="FFFFFF"/>
        </w:rPr>
        <w:t>（一）主要经验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微软雅黑" w:eastAsia="仿宋_GB2312" w:cs="仿宋_GB2312"/>
          <w:color w:val="4C4C4C"/>
          <w:sz w:val="31"/>
          <w:szCs w:val="31"/>
          <w:shd w:val="clear" w:color="auto" w:fill="FFFFFF"/>
        </w:rPr>
      </w:pPr>
      <w:r>
        <w:rPr>
          <w:rFonts w:hint="eastAsia" w:ascii="仿宋_GB2312" w:hAnsi="微软雅黑" w:eastAsia="仿宋_GB2312" w:cs="仿宋_GB2312"/>
          <w:color w:val="4C4C4C"/>
          <w:sz w:val="31"/>
          <w:szCs w:val="31"/>
          <w:shd w:val="clear" w:color="auto" w:fill="FFFFFF"/>
        </w:rPr>
        <w:t>一是建立形成了一套严格、科学、高效的运行机制，保障了桐木镇、花桥和新路河镇污水处理工作顺利开展。二是规范资金运行。按照施工进度提出用款申请，财政核拨，通过专账管理，确保资金及时足额到位。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微软雅黑" w:eastAsia="仿宋_GB2312" w:cs="仿宋_GB2312"/>
          <w:color w:val="4C4C4C"/>
          <w:sz w:val="31"/>
          <w:szCs w:val="31"/>
          <w:shd w:val="clear" w:color="auto" w:fill="FFFFFF"/>
        </w:rPr>
      </w:pPr>
      <w:r>
        <w:rPr>
          <w:rFonts w:hint="eastAsia" w:ascii="仿宋_GB2312" w:hAnsi="微软雅黑" w:eastAsia="仿宋_GB2312" w:cs="仿宋_GB2312"/>
          <w:color w:val="4C4C4C"/>
          <w:sz w:val="31"/>
          <w:szCs w:val="31"/>
          <w:shd w:val="clear" w:color="auto" w:fill="FFFFFF"/>
        </w:rPr>
        <w:t>(二）存在的问题：项目已完工，后期资金保障没有到位。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六、有关建议</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930" w:firstLineChars="300"/>
        <w:textAlignment w:val="auto"/>
        <w:rPr>
          <w:rFonts w:ascii="仿宋_GB2312" w:hAnsi="微软雅黑" w:eastAsia="仿宋_GB2312" w:cs="仿宋_GB2312"/>
          <w:color w:val="4C4C4C"/>
          <w:sz w:val="31"/>
          <w:szCs w:val="31"/>
          <w:shd w:val="clear" w:color="auto" w:fill="FFFFFF"/>
        </w:rPr>
      </w:pPr>
      <w:r>
        <w:rPr>
          <w:rFonts w:hint="eastAsia" w:ascii="仿宋_GB2312" w:hAnsi="微软雅黑" w:eastAsia="仿宋_GB2312" w:cs="仿宋_GB2312"/>
          <w:color w:val="4C4C4C"/>
          <w:sz w:val="31"/>
          <w:szCs w:val="31"/>
          <w:shd w:val="clear" w:color="auto" w:fill="FFFFFF"/>
        </w:rPr>
        <w:t>建议加大后期资金的保障。</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630"/>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七、其他需要说明的问题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微软雅黑" w:eastAsia="仿宋_GB2312" w:cs="仿宋_GB2312"/>
          <w:color w:val="4C4C4C"/>
          <w:sz w:val="31"/>
          <w:szCs w:val="31"/>
          <w:shd w:val="clear" w:color="auto" w:fill="FFFFFF"/>
        </w:rPr>
      </w:pPr>
      <w:r>
        <w:rPr>
          <w:rStyle w:val="10"/>
          <w:rFonts w:hint="eastAsia" w:ascii="黑体" w:eastAsia="黑体" w:cs="黑体"/>
          <w:color w:val="4C4C4C"/>
          <w:sz w:val="31"/>
          <w:szCs w:val="31"/>
          <w:shd w:val="clear" w:color="auto" w:fill="FFFFFF"/>
        </w:rPr>
        <w:t xml:space="preserve">        </w:t>
      </w:r>
      <w:r>
        <w:rPr>
          <w:rFonts w:hint="eastAsia" w:ascii="仿宋_GB2312" w:hAnsi="微软雅黑" w:eastAsia="仿宋_GB2312" w:cs="仿宋_GB2312"/>
          <w:color w:val="4C4C4C"/>
          <w:sz w:val="31"/>
          <w:szCs w:val="31"/>
          <w:shd w:val="clear" w:color="auto" w:fill="FFFFFF"/>
        </w:rPr>
        <w:t xml:space="preserve">  无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仿宋_GB2312" w:hAnsi="微软雅黑" w:eastAsia="仿宋_GB2312" w:cs="仿宋_GB2312"/>
          <w:color w:val="4C4C4C"/>
          <w:sz w:val="31"/>
          <w:szCs w:val="31"/>
          <w:shd w:val="clear" w:color="auto" w:fill="FFFFFF"/>
        </w:rPr>
      </w:pPr>
    </w:p>
    <w:p>
      <w:pPr>
        <w:pStyle w:val="2"/>
        <w:keepNext w:val="0"/>
        <w:keepLines w:val="0"/>
        <w:pageBreakBefore w:val="0"/>
        <w:kinsoku/>
        <w:wordWrap/>
        <w:overflowPunct/>
        <w:topLinePunct w:val="0"/>
        <w:autoSpaceDE/>
        <w:autoSpaceDN/>
        <w:bidi w:val="0"/>
        <w:adjustRightInd/>
        <w:snapToGrid/>
        <w:spacing w:line="440" w:lineRule="exact"/>
        <w:ind w:firstLine="4760" w:firstLineChars="17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中方县住房和城乡建设局</w:t>
      </w:r>
    </w:p>
    <w:p>
      <w:pPr>
        <w:keepNext w:val="0"/>
        <w:keepLines w:val="0"/>
        <w:pageBreakBefore w:val="0"/>
        <w:kinsoku/>
        <w:wordWrap/>
        <w:overflowPunct/>
        <w:topLinePunct w:val="0"/>
        <w:autoSpaceDE/>
        <w:autoSpaceDN/>
        <w:bidi w:val="0"/>
        <w:adjustRightInd/>
        <w:snapToGrid/>
        <w:spacing w:line="440" w:lineRule="exact"/>
        <w:ind w:firstLine="5320" w:firstLineChars="19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2023年</w:t>
      </w:r>
      <w:r>
        <w:rPr>
          <w:rFonts w:hint="eastAsia" w:ascii="宋体" w:hAnsi="宋体" w:cs="宋体"/>
          <w:sz w:val="28"/>
          <w:szCs w:val="28"/>
          <w:lang w:val="en-US" w:eastAsia="zh-CN"/>
        </w:rPr>
        <w:t>7</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10</w:t>
      </w:r>
      <w:r>
        <w:rPr>
          <w:rFonts w:hint="eastAsia" w:ascii="宋体" w:hAnsi="宋体" w:eastAsia="宋体" w:cs="宋体"/>
          <w:sz w:val="28"/>
          <w:szCs w:val="28"/>
          <w:lang w:val="en-US" w:eastAsia="zh-CN"/>
        </w:rPr>
        <w:t>日</w:t>
      </w: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Pr>
        <w:pStyle w:val="7"/>
        <w:shd w:val="clear" w:color="auto" w:fill="FFFFFF"/>
        <w:spacing w:before="0" w:beforeAutospacing="0" w:after="0" w:line="450" w:lineRule="atLeast"/>
        <w:rPr>
          <w:rFonts w:hint="eastAsia" w:ascii="仿宋_GB2312" w:hAnsi="微软雅黑" w:eastAsia="仿宋_GB2312" w:cs="仿宋_GB2312"/>
          <w:color w:val="4C4C4C"/>
          <w:sz w:val="31"/>
          <w:szCs w:val="31"/>
          <w:shd w:val="clear" w:color="auto" w:fill="FFFFFF"/>
        </w:rPr>
      </w:pPr>
    </w:p>
    <w:p/>
    <w:p>
      <w:pPr>
        <w:widowControl/>
        <w:spacing w:line="510" w:lineRule="exact"/>
        <w:jc w:val="left"/>
        <w:rPr>
          <w:rFonts w:ascii="仿宋_GB2312" w:hAnsi="微软雅黑" w:eastAsia="仿宋_GB2312" w:cs="仿宋_GB2312"/>
          <w:color w:val="4C4C4C"/>
          <w:kern w:val="0"/>
          <w:sz w:val="31"/>
          <w:szCs w:val="31"/>
          <w:shd w:val="clear" w:color="auto" w:fill="FFFFFF"/>
        </w:rPr>
      </w:pPr>
      <w:r>
        <w:rPr>
          <w:rFonts w:hint="eastAsia" w:cs="Times New Roman"/>
          <w:kern w:val="2"/>
          <w:sz w:val="21"/>
          <w:szCs w:val="24"/>
          <w:lang w:val="en-US" w:eastAsia="zh-CN" w:bidi="ar-SA"/>
        </w:rPr>
        <w:tab/>
      </w:r>
      <w:r>
        <w:rPr>
          <w:rFonts w:ascii="仿宋_GB2312" w:hAnsi="微软雅黑" w:eastAsia="仿宋_GB2312" w:cs="仿宋_GB2312"/>
          <w:color w:val="4C4C4C"/>
          <w:kern w:val="0"/>
          <w:sz w:val="31"/>
          <w:szCs w:val="31"/>
          <w:shd w:val="clear" w:color="auto" w:fill="FFFFFF"/>
        </w:rPr>
        <w:t>附件：1.项目支出绩效自评表</w:t>
      </w:r>
    </w:p>
    <w:p>
      <w:pPr>
        <w:widowControl/>
        <w:spacing w:line="510" w:lineRule="exact"/>
        <w:ind w:firstLine="1240" w:firstLineChars="400"/>
        <w:jc w:val="left"/>
        <w:rPr>
          <w:rFonts w:hint="eastAsia" w:ascii="仿宋_GB2312" w:hAnsi="微软雅黑" w:eastAsia="仿宋_GB2312" w:cs="仿宋_GB2312"/>
          <w:color w:val="4C4C4C"/>
          <w:kern w:val="0"/>
          <w:sz w:val="31"/>
          <w:szCs w:val="31"/>
          <w:shd w:val="clear" w:color="auto" w:fill="FFFFFF"/>
          <w:lang w:eastAsia="zh-CN"/>
        </w:rPr>
      </w:pPr>
      <w:bookmarkStart w:id="0" w:name="_GoBack"/>
      <w:bookmarkEnd w:id="0"/>
      <w:r>
        <w:rPr>
          <w:rFonts w:ascii="仿宋_GB2312" w:hAnsi="微软雅黑" w:eastAsia="仿宋_GB2312" w:cs="仿宋_GB2312"/>
          <w:color w:val="4C4C4C"/>
          <w:kern w:val="0"/>
          <w:sz w:val="31"/>
          <w:szCs w:val="31"/>
          <w:shd w:val="clear" w:color="auto" w:fill="FFFFFF"/>
        </w:rPr>
        <w:t>2.项目支出绩效评价指标</w:t>
      </w:r>
      <w:r>
        <w:rPr>
          <w:rFonts w:hint="eastAsia" w:ascii="仿宋_GB2312" w:hAnsi="微软雅黑" w:eastAsia="仿宋_GB2312" w:cs="仿宋_GB2312"/>
          <w:color w:val="4C4C4C"/>
          <w:kern w:val="0"/>
          <w:sz w:val="31"/>
          <w:szCs w:val="31"/>
          <w:shd w:val="clear" w:color="auto" w:fill="FFFFFF"/>
          <w:lang w:eastAsia="zh-CN"/>
        </w:rPr>
        <w:t>体系</w:t>
      </w:r>
    </w:p>
    <w:p>
      <w:pPr>
        <w:spacing w:line="400" w:lineRule="exact"/>
        <w:rPr>
          <w:rFonts w:hint="eastAsia" w:eastAsia="仿宋_GB2312"/>
          <w:bCs/>
          <w:color w:val="000000"/>
          <w:sz w:val="32"/>
          <w:szCs w:val="32"/>
        </w:rPr>
      </w:pPr>
    </w:p>
    <w:p>
      <w:pPr>
        <w:spacing w:line="400" w:lineRule="exact"/>
        <w:rPr>
          <w:rFonts w:hint="eastAsia" w:eastAsia="仿宋_GB2312"/>
          <w:bCs/>
          <w:color w:val="000000"/>
          <w:sz w:val="32"/>
          <w:szCs w:val="32"/>
        </w:rPr>
      </w:pPr>
    </w:p>
    <w:p>
      <w:pPr>
        <w:spacing w:line="400" w:lineRule="exact"/>
        <w:rPr>
          <w:rFonts w:hint="eastAsia" w:eastAsia="仿宋_GB2312"/>
          <w:bCs/>
          <w:color w:val="000000"/>
          <w:sz w:val="32"/>
          <w:szCs w:val="32"/>
        </w:rPr>
      </w:pPr>
    </w:p>
    <w:p>
      <w:pPr>
        <w:spacing w:line="400" w:lineRule="exact"/>
        <w:rPr>
          <w:rFonts w:eastAsia="仿宋_GB2312"/>
          <w:bCs/>
          <w:color w:val="000000"/>
          <w:sz w:val="32"/>
          <w:szCs w:val="32"/>
        </w:rPr>
      </w:pPr>
    </w:p>
    <w:p>
      <w:pPr>
        <w:tabs>
          <w:tab w:val="left" w:pos="1076"/>
        </w:tabs>
        <w:spacing w:line="400" w:lineRule="exact"/>
        <w:rPr>
          <w:rFonts w:hint="eastAsia" w:eastAsia="仿宋_GB2312"/>
          <w:bCs/>
          <w:color w:val="000000"/>
          <w:sz w:val="32"/>
          <w:szCs w:val="32"/>
          <w:lang w:eastAsia="zh-CN"/>
        </w:rPr>
      </w:pPr>
      <w:r>
        <w:rPr>
          <w:rFonts w:hint="eastAsia" w:eastAsia="仿宋_GB2312"/>
          <w:bCs/>
          <w:color w:val="000000"/>
          <w:sz w:val="32"/>
          <w:szCs w:val="32"/>
          <w:lang w:eastAsia="zh-CN"/>
        </w:rPr>
        <w:tab/>
      </w:r>
    </w:p>
    <w:p>
      <w:pPr>
        <w:spacing w:line="400" w:lineRule="exact"/>
        <w:rPr>
          <w:rFonts w:eastAsia="仿宋_GB2312"/>
          <w:bCs/>
          <w:color w:val="000000"/>
          <w:sz w:val="32"/>
          <w:szCs w:val="32"/>
        </w:rPr>
      </w:pPr>
    </w:p>
    <w:p>
      <w:pPr>
        <w:spacing w:line="400" w:lineRule="exact"/>
        <w:rPr>
          <w:rFonts w:eastAsia="仿宋_GB2312"/>
          <w:bCs/>
          <w:color w:val="000000"/>
          <w:sz w:val="24"/>
          <w:szCs w:val="24"/>
        </w:rPr>
      </w:pPr>
      <w:r>
        <w:rPr>
          <w:rFonts w:eastAsia="仿宋_GB2312"/>
          <w:bCs/>
          <w:color w:val="000000"/>
          <w:sz w:val="32"/>
          <w:szCs w:val="32"/>
        </w:rPr>
        <w:t>附件</w:t>
      </w:r>
      <w:r>
        <w:rPr>
          <w:rFonts w:hint="eastAsia" w:eastAsia="仿宋_GB2312"/>
          <w:bCs/>
          <w:color w:val="000000"/>
          <w:sz w:val="32"/>
          <w:szCs w:val="32"/>
        </w:rPr>
        <w:t>1</w:t>
      </w:r>
    </w:p>
    <w:tbl>
      <w:tblPr>
        <w:tblStyle w:val="8"/>
        <w:tblW w:w="9080" w:type="dxa"/>
        <w:jc w:val="center"/>
        <w:tblLayout w:type="fixed"/>
        <w:tblCellMar>
          <w:top w:w="0" w:type="dxa"/>
          <w:left w:w="108" w:type="dxa"/>
          <w:bottom w:w="0" w:type="dxa"/>
          <w:right w:w="108" w:type="dxa"/>
        </w:tblCellMar>
      </w:tblPr>
      <w:tblGrid>
        <w:gridCol w:w="588"/>
        <w:gridCol w:w="980"/>
        <w:gridCol w:w="1112"/>
        <w:gridCol w:w="730"/>
        <w:gridCol w:w="1134"/>
        <w:gridCol w:w="274"/>
        <w:gridCol w:w="860"/>
        <w:gridCol w:w="851"/>
        <w:gridCol w:w="283"/>
        <w:gridCol w:w="284"/>
        <w:gridCol w:w="425"/>
        <w:gridCol w:w="142"/>
        <w:gridCol w:w="709"/>
        <w:gridCol w:w="708"/>
      </w:tblGrid>
      <w:tr>
        <w:tblPrEx>
          <w:tblCellMar>
            <w:top w:w="0" w:type="dxa"/>
            <w:left w:w="108" w:type="dxa"/>
            <w:bottom w:w="0" w:type="dxa"/>
            <w:right w:w="108" w:type="dxa"/>
          </w:tblCellMar>
        </w:tblPrEx>
        <w:trPr>
          <w:trHeight w:val="349" w:hRule="exact"/>
          <w:jc w:val="center"/>
        </w:trPr>
        <w:tc>
          <w:tcPr>
            <w:tcW w:w="9080" w:type="dxa"/>
            <w:gridSpan w:val="14"/>
            <w:tcBorders>
              <w:top w:val="nil"/>
              <w:left w:val="nil"/>
              <w:bottom w:val="nil"/>
              <w:right w:val="nil"/>
            </w:tcBorders>
            <w:noWrap w:val="0"/>
            <w:vAlign w:val="center"/>
          </w:tcPr>
          <w:p>
            <w:pPr>
              <w:widowControl/>
              <w:spacing w:line="320" w:lineRule="exact"/>
              <w:jc w:val="center"/>
              <w:rPr>
                <w:b/>
                <w:bCs/>
                <w:kern w:val="0"/>
                <w:sz w:val="24"/>
                <w:szCs w:val="24"/>
              </w:rPr>
            </w:pPr>
            <w:r>
              <w:rPr>
                <w:b/>
                <w:bCs/>
                <w:kern w:val="0"/>
                <w:sz w:val="24"/>
                <w:szCs w:val="24"/>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4"/>
            <w:tcBorders>
              <w:top w:val="nil"/>
              <w:left w:val="nil"/>
              <w:bottom w:val="nil"/>
              <w:right w:val="nil"/>
            </w:tcBorders>
            <w:noWrap w:val="0"/>
            <w:vAlign w:val="top"/>
          </w:tcPr>
          <w:p>
            <w:pPr>
              <w:widowControl/>
              <w:spacing w:line="0" w:lineRule="atLeast"/>
              <w:jc w:val="left"/>
              <w:rPr>
                <w:rFonts w:ascii="Calibri" w:hAnsi="Calibri" w:eastAsia="宋体" w:cs="Times New Roman"/>
                <w:color w:val="000000"/>
                <w:kern w:val="0"/>
                <w:sz w:val="22"/>
                <w:szCs w:val="22"/>
              </w:rPr>
            </w:pPr>
            <w:r>
              <w:rPr>
                <w:rFonts w:hint="eastAsia" w:ascii="Calibri" w:hAnsi="Calibri" w:cs="Times New Roman"/>
                <w:color w:val="000000"/>
                <w:kern w:val="0"/>
                <w:sz w:val="24"/>
                <w:szCs w:val="24"/>
                <w:lang w:eastAsia="zh-CN"/>
              </w:rPr>
              <w:t>　　　　　　　　　　　　　　　</w:t>
            </w:r>
            <w:r>
              <w:rPr>
                <w:rFonts w:ascii="Calibri" w:hAnsi="Calibri" w:eastAsia="宋体" w:cs="Times New Roman"/>
                <w:color w:val="000000"/>
                <w:kern w:val="0"/>
                <w:sz w:val="24"/>
                <w:szCs w:val="24"/>
              </w:rPr>
              <w:t>（20</w:t>
            </w:r>
            <w:r>
              <w:rPr>
                <w:rFonts w:hint="eastAsia" w:ascii="Calibri" w:hAnsi="Calibri" w:eastAsia="宋体" w:cs="Times New Roman"/>
                <w:color w:val="000000"/>
                <w:kern w:val="0"/>
                <w:sz w:val="24"/>
                <w:szCs w:val="24"/>
              </w:rPr>
              <w:t>2</w:t>
            </w:r>
            <w:r>
              <w:rPr>
                <w:rFonts w:hint="eastAsia" w:ascii="Calibri" w:hAnsi="Calibri" w:eastAsia="宋体" w:cs="Times New Roman"/>
                <w:color w:val="000000"/>
                <w:kern w:val="0"/>
                <w:sz w:val="24"/>
                <w:szCs w:val="24"/>
                <w:lang w:val="en-US" w:eastAsia="zh-CN"/>
              </w:rPr>
              <w:t>2</w:t>
            </w:r>
            <w:r>
              <w:rPr>
                <w:rFonts w:ascii="Calibri" w:hAnsi="Calibri" w:eastAsia="宋体" w:cs="Times New Roman"/>
                <w:color w:val="000000"/>
                <w:kern w:val="0"/>
                <w:sz w:val="24"/>
                <w:szCs w:val="24"/>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项目名称</w:t>
            </w:r>
          </w:p>
        </w:tc>
        <w:tc>
          <w:tcPr>
            <w:tcW w:w="7512" w:type="dxa"/>
            <w:gridSpan w:val="1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202</w:t>
            </w:r>
            <w:r>
              <w:rPr>
                <w:rFonts w:hint="eastAsia" w:ascii="Calibri" w:hAnsi="Calibri" w:eastAsia="宋体" w:cs="Times New Roman"/>
                <w:color w:val="000000"/>
                <w:kern w:val="0"/>
                <w:sz w:val="22"/>
                <w:szCs w:val="22"/>
                <w:lang w:val="en-US" w:eastAsia="zh-CN"/>
              </w:rPr>
              <w:t>2</w:t>
            </w:r>
            <w:r>
              <w:rPr>
                <w:rFonts w:hint="eastAsia" w:ascii="Calibri" w:hAnsi="Calibri" w:eastAsia="宋体" w:cs="Times New Roman"/>
                <w:color w:val="000000"/>
                <w:kern w:val="0"/>
                <w:sz w:val="22"/>
                <w:szCs w:val="22"/>
              </w:rPr>
              <w:t>年</w:t>
            </w:r>
            <w:r>
              <w:rPr>
                <w:rFonts w:hint="eastAsia" w:ascii="Calibri" w:hAnsi="Calibri" w:eastAsia="宋体" w:cs="Times New Roman"/>
                <w:color w:val="000000"/>
                <w:kern w:val="0"/>
                <w:sz w:val="22"/>
                <w:szCs w:val="22"/>
                <w:lang w:eastAsia="zh-CN"/>
              </w:rPr>
              <w:t>度</w:t>
            </w:r>
            <w:r>
              <w:rPr>
                <w:rFonts w:hint="eastAsia" w:ascii="Calibri" w:hAnsi="Calibri" w:eastAsia="宋体" w:cs="Times New Roman"/>
                <w:color w:val="000000"/>
                <w:kern w:val="0"/>
                <w:sz w:val="22"/>
                <w:szCs w:val="22"/>
              </w:rPr>
              <w:t>中方县</w:t>
            </w:r>
            <w:r>
              <w:rPr>
                <w:rFonts w:hint="eastAsia" w:ascii="Calibri" w:hAnsi="Calibri" w:eastAsia="宋体" w:cs="Times New Roman"/>
                <w:color w:val="000000"/>
                <w:kern w:val="0"/>
                <w:sz w:val="22"/>
                <w:szCs w:val="22"/>
                <w:lang w:eastAsia="zh-CN"/>
              </w:rPr>
              <w:t>乡镇</w:t>
            </w:r>
            <w:r>
              <w:rPr>
                <w:rFonts w:hint="eastAsia" w:ascii="Calibri" w:hAnsi="Calibri" w:eastAsia="宋体" w:cs="Times New Roman"/>
                <w:color w:val="000000"/>
                <w:kern w:val="0"/>
                <w:sz w:val="22"/>
                <w:szCs w:val="22"/>
              </w:rPr>
              <w:t>污水处理厂及配套管网工程</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r>
      <w:tr>
        <w:tblPrEx>
          <w:tblCellMar>
            <w:top w:w="0" w:type="dxa"/>
            <w:left w:w="108" w:type="dxa"/>
            <w:bottom w:w="0" w:type="dxa"/>
            <w:right w:w="108" w:type="dxa"/>
          </w:tblCellMar>
        </w:tblPrEx>
        <w:trPr>
          <w:trHeight w:val="436"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项目资金</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全年预算数（A）</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执行率（B/A)</w:t>
            </w: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年度资金总额</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1280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1280</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r>
      <w:tr>
        <w:tblPrEx>
          <w:tblCellMar>
            <w:top w:w="0" w:type="dxa"/>
            <w:left w:w="108" w:type="dxa"/>
            <w:bottom w:w="0" w:type="dxa"/>
            <w:right w:w="108" w:type="dxa"/>
          </w:tblCellMar>
        </w:tblPrEx>
        <w:trPr>
          <w:trHeight w:val="27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1280</w:t>
            </w: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1280</w:t>
            </w: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34"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trHeight w:val="305"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预期目标</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实际完成情况</w:t>
            </w:r>
          </w:p>
        </w:tc>
      </w:tr>
      <w:tr>
        <w:tblPrEx>
          <w:tblCellMar>
            <w:top w:w="0" w:type="dxa"/>
            <w:left w:w="108" w:type="dxa"/>
            <w:bottom w:w="0" w:type="dxa"/>
            <w:right w:w="108" w:type="dxa"/>
          </w:tblCellMar>
        </w:tblPrEx>
        <w:trPr>
          <w:trHeight w:val="1330"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完成202</w:t>
            </w:r>
            <w:r>
              <w:rPr>
                <w:rFonts w:hint="eastAsia" w:ascii="Calibri" w:hAnsi="Calibri" w:eastAsia="宋体" w:cs="Times New Roman"/>
                <w:color w:val="000000"/>
                <w:kern w:val="0"/>
                <w:sz w:val="22"/>
                <w:szCs w:val="22"/>
                <w:lang w:val="en-US" w:eastAsia="zh-CN"/>
              </w:rPr>
              <w:t>2</w:t>
            </w:r>
            <w:r>
              <w:rPr>
                <w:rFonts w:hint="eastAsia" w:ascii="Calibri" w:hAnsi="Calibri" w:eastAsia="宋体" w:cs="Times New Roman"/>
                <w:color w:val="000000"/>
                <w:kern w:val="0"/>
                <w:sz w:val="22"/>
                <w:szCs w:val="22"/>
              </w:rPr>
              <w:t>年度</w:t>
            </w:r>
            <w:r>
              <w:rPr>
                <w:rFonts w:hint="eastAsia" w:ascii="Calibri" w:hAnsi="Calibri" w:eastAsia="宋体" w:cs="Times New Roman"/>
                <w:color w:val="000000"/>
                <w:kern w:val="0"/>
                <w:sz w:val="22"/>
                <w:szCs w:val="22"/>
                <w:lang w:eastAsia="zh-CN"/>
              </w:rPr>
              <w:t>新建</w:t>
            </w:r>
            <w:r>
              <w:rPr>
                <w:rFonts w:hint="eastAsia"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袁家、接龙</w:t>
            </w:r>
            <w:r>
              <w:rPr>
                <w:rFonts w:hint="eastAsia" w:ascii="Calibri" w:hAnsi="Calibri" w:eastAsia="宋体" w:cs="Times New Roman"/>
                <w:color w:val="000000"/>
                <w:kern w:val="0"/>
                <w:sz w:val="22"/>
                <w:szCs w:val="22"/>
              </w:rPr>
              <w:t>和</w:t>
            </w:r>
            <w:r>
              <w:rPr>
                <w:rFonts w:hint="eastAsia" w:ascii="Calibri" w:hAnsi="Calibri" w:eastAsia="宋体" w:cs="Times New Roman"/>
                <w:color w:val="000000"/>
                <w:kern w:val="0"/>
                <w:sz w:val="22"/>
                <w:szCs w:val="22"/>
                <w:lang w:eastAsia="zh-CN"/>
              </w:rPr>
              <w:t>铁坡</w:t>
            </w:r>
            <w:r>
              <w:rPr>
                <w:rFonts w:hint="eastAsia" w:ascii="Calibri" w:hAnsi="Calibri" w:eastAsia="宋体" w:cs="Times New Roman"/>
                <w:color w:val="000000"/>
                <w:kern w:val="0"/>
                <w:sz w:val="22"/>
                <w:szCs w:val="22"/>
              </w:rPr>
              <w:t>镇污水处理设施及配套管网工程项目及</w:t>
            </w:r>
            <w:r>
              <w:rPr>
                <w:rFonts w:hint="eastAsia" w:ascii="Calibri" w:hAnsi="Calibri" w:eastAsia="宋体" w:cs="Times New Roman"/>
                <w:color w:val="000000"/>
                <w:kern w:val="0"/>
                <w:sz w:val="22"/>
                <w:szCs w:val="22"/>
                <w:lang w:eastAsia="zh-CN"/>
              </w:rPr>
              <w:t>新建</w:t>
            </w:r>
            <w:r>
              <w:rPr>
                <w:rFonts w:hint="eastAsia"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袁家、接龙</w:t>
            </w:r>
            <w:r>
              <w:rPr>
                <w:rFonts w:hint="eastAsia" w:ascii="Calibri" w:hAnsi="Calibri" w:eastAsia="宋体" w:cs="Times New Roman"/>
                <w:color w:val="000000"/>
                <w:kern w:val="0"/>
                <w:sz w:val="22"/>
                <w:szCs w:val="22"/>
              </w:rPr>
              <w:t>和</w:t>
            </w:r>
            <w:r>
              <w:rPr>
                <w:rFonts w:hint="eastAsia" w:ascii="Calibri" w:hAnsi="Calibri" w:eastAsia="宋体" w:cs="Times New Roman"/>
                <w:color w:val="000000"/>
                <w:kern w:val="0"/>
                <w:sz w:val="22"/>
                <w:szCs w:val="22"/>
                <w:lang w:eastAsia="zh-CN"/>
              </w:rPr>
              <w:t>铁坡</w:t>
            </w:r>
            <w:r>
              <w:rPr>
                <w:rFonts w:hint="eastAsia" w:ascii="Calibri" w:hAnsi="Calibri" w:eastAsia="宋体" w:cs="Times New Roman"/>
                <w:color w:val="000000"/>
                <w:kern w:val="0"/>
                <w:sz w:val="22"/>
                <w:szCs w:val="22"/>
              </w:rPr>
              <w:t>镇污水处理一体化设备采购项目，并投入运营。</w:t>
            </w:r>
          </w:p>
        </w:tc>
        <w:tc>
          <w:tcPr>
            <w:tcW w:w="3402" w:type="dxa"/>
            <w:gridSpan w:val="7"/>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完成202</w:t>
            </w:r>
            <w:r>
              <w:rPr>
                <w:rFonts w:hint="eastAsia" w:ascii="Calibri" w:hAnsi="Calibri" w:eastAsia="宋体" w:cs="Times New Roman"/>
                <w:color w:val="000000"/>
                <w:kern w:val="0"/>
                <w:sz w:val="22"/>
                <w:szCs w:val="22"/>
                <w:lang w:val="en-US" w:eastAsia="zh-CN"/>
              </w:rPr>
              <w:t>2</w:t>
            </w:r>
            <w:r>
              <w:rPr>
                <w:rFonts w:hint="eastAsia" w:ascii="Calibri" w:hAnsi="Calibri" w:eastAsia="宋体" w:cs="Times New Roman"/>
                <w:color w:val="000000"/>
                <w:kern w:val="0"/>
                <w:sz w:val="22"/>
                <w:szCs w:val="22"/>
              </w:rPr>
              <w:t>年度</w:t>
            </w:r>
            <w:r>
              <w:rPr>
                <w:rFonts w:hint="eastAsia" w:ascii="Calibri" w:hAnsi="Calibri" w:eastAsia="宋体" w:cs="Times New Roman"/>
                <w:color w:val="000000"/>
                <w:kern w:val="0"/>
                <w:sz w:val="22"/>
                <w:szCs w:val="22"/>
                <w:lang w:eastAsia="zh-CN"/>
              </w:rPr>
              <w:t>新建</w:t>
            </w:r>
            <w:r>
              <w:rPr>
                <w:rFonts w:hint="eastAsia"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袁家、接龙</w:t>
            </w:r>
            <w:r>
              <w:rPr>
                <w:rFonts w:hint="eastAsia" w:ascii="Calibri" w:hAnsi="Calibri" w:eastAsia="宋体" w:cs="Times New Roman"/>
                <w:color w:val="000000"/>
                <w:kern w:val="0"/>
                <w:sz w:val="22"/>
                <w:szCs w:val="22"/>
              </w:rPr>
              <w:t>和</w:t>
            </w:r>
            <w:r>
              <w:rPr>
                <w:rFonts w:hint="eastAsia" w:ascii="Calibri" w:hAnsi="Calibri" w:eastAsia="宋体" w:cs="Times New Roman"/>
                <w:color w:val="000000"/>
                <w:kern w:val="0"/>
                <w:sz w:val="22"/>
                <w:szCs w:val="22"/>
                <w:lang w:eastAsia="zh-CN"/>
              </w:rPr>
              <w:t>铁坡</w:t>
            </w:r>
            <w:r>
              <w:rPr>
                <w:rFonts w:hint="eastAsia" w:ascii="Calibri" w:hAnsi="Calibri" w:eastAsia="宋体" w:cs="Times New Roman"/>
                <w:color w:val="000000"/>
                <w:kern w:val="0"/>
                <w:sz w:val="22"/>
                <w:szCs w:val="22"/>
              </w:rPr>
              <w:t>镇污水处理设施及配套管网工程项目及</w:t>
            </w:r>
            <w:r>
              <w:rPr>
                <w:rFonts w:hint="eastAsia" w:ascii="Calibri" w:hAnsi="Calibri" w:eastAsia="宋体" w:cs="Times New Roman"/>
                <w:color w:val="000000"/>
                <w:kern w:val="0"/>
                <w:sz w:val="22"/>
                <w:szCs w:val="22"/>
                <w:lang w:eastAsia="zh-CN"/>
              </w:rPr>
              <w:t>新建</w:t>
            </w:r>
            <w:r>
              <w:rPr>
                <w:rFonts w:hint="eastAsia"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袁家、接龙</w:t>
            </w:r>
            <w:r>
              <w:rPr>
                <w:rFonts w:hint="eastAsia" w:ascii="Calibri" w:hAnsi="Calibri" w:eastAsia="宋体" w:cs="Times New Roman"/>
                <w:color w:val="000000"/>
                <w:kern w:val="0"/>
                <w:sz w:val="22"/>
                <w:szCs w:val="22"/>
              </w:rPr>
              <w:t>和</w:t>
            </w:r>
            <w:r>
              <w:rPr>
                <w:rFonts w:hint="eastAsia" w:ascii="Calibri" w:hAnsi="Calibri" w:eastAsia="宋体" w:cs="Times New Roman"/>
                <w:color w:val="000000"/>
                <w:kern w:val="0"/>
                <w:sz w:val="22"/>
                <w:szCs w:val="22"/>
                <w:lang w:eastAsia="zh-CN"/>
              </w:rPr>
              <w:t>铁坡</w:t>
            </w:r>
            <w:r>
              <w:rPr>
                <w:rFonts w:hint="eastAsia" w:ascii="Calibri" w:hAnsi="Calibri" w:eastAsia="宋体" w:cs="Times New Roman"/>
                <w:color w:val="000000"/>
                <w:kern w:val="0"/>
                <w:sz w:val="22"/>
                <w:szCs w:val="22"/>
              </w:rPr>
              <w:t>镇污水处理一体化设备采购项目，并投入运营。</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rPr>
              <w:t>绩</w:t>
            </w:r>
          </w:p>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rPr>
              <w:t>效</w:t>
            </w:r>
          </w:p>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rPr>
              <w:t>指</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标</w:t>
            </w:r>
          </w:p>
        </w:tc>
        <w:tc>
          <w:tcPr>
            <w:tcW w:w="98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一级指标</w:t>
            </w:r>
          </w:p>
        </w:tc>
        <w:tc>
          <w:tcPr>
            <w:tcW w:w="1112"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二级指标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三级指标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年度</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指标值</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实际</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得分</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偏差原因分析及改进措施</w:t>
            </w: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产出指标(50分)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数量指标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日处理污水规模</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1000吨/日</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rPr>
              <w:t>1000吨/日</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rPr>
              <w:t>1</w:t>
            </w:r>
            <w:r>
              <w:rPr>
                <w:rFonts w:hint="eastAsia" w:ascii="Calibri" w:hAnsi="Calibri" w:eastAsia="宋体" w:cs="Times New Roman"/>
                <w:color w:val="000000"/>
                <w:kern w:val="0"/>
                <w:sz w:val="22"/>
                <w:szCs w:val="22"/>
                <w:lang w:val="en-US" w:eastAsia="zh-CN"/>
              </w:rPr>
              <w:t>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9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配套管网</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11.69千米</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11.69</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1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竣工验收合格率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设备安装合格率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4</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6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时效指标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项目按期完成率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按合同</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按合同</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66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设备安装按期完成率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rPr>
              <w:t>按</w:t>
            </w:r>
            <w:r>
              <w:rPr>
                <w:rFonts w:hint="eastAsia" w:ascii="Calibri" w:hAnsi="Calibri" w:eastAsia="宋体" w:cs="Times New Roman"/>
                <w:color w:val="000000"/>
                <w:kern w:val="0"/>
                <w:sz w:val="22"/>
                <w:szCs w:val="22"/>
                <w:lang w:eastAsia="zh-CN"/>
              </w:rPr>
              <w:t>合同</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rPr>
              <w:t>按</w:t>
            </w:r>
            <w:r>
              <w:rPr>
                <w:rFonts w:hint="eastAsia" w:ascii="Calibri" w:hAnsi="Calibri" w:eastAsia="宋体" w:cs="Times New Roman"/>
                <w:color w:val="000000"/>
                <w:kern w:val="0"/>
                <w:sz w:val="22"/>
                <w:szCs w:val="22"/>
                <w:lang w:eastAsia="zh-CN"/>
              </w:rPr>
              <w:t>合同</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val="en-US" w:eastAsia="zh-CN"/>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3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成本指标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污水处理设施及配套管网</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1583.95</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1583.95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5</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5</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效益指标(30分)</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经济效益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增加可灌溉用水、节约水资源</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285"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社会效益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促进农业生产的发展</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生态效益</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水污染降低率</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90%</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可持续影响指标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解决乡镇区域污水染问题</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长期</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p>
            <w:pPr>
              <w:widowControl/>
              <w:spacing w:line="0" w:lineRule="atLeast"/>
              <w:jc w:val="left"/>
              <w:rPr>
                <w:rFonts w:ascii="Calibri" w:hAnsi="Calibri" w:eastAsia="宋体" w:cs="Times New Roman"/>
                <w:color w:val="000000"/>
                <w:kern w:val="0"/>
                <w:sz w:val="22"/>
                <w:szCs w:val="22"/>
                <w:lang w:val="en-US" w:eastAsia="zh-CN"/>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restart"/>
            <w:tcBorders>
              <w:top w:val="single" w:color="auto" w:sz="4" w:space="0"/>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满意度</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指标(10分)</w:t>
            </w:r>
          </w:p>
        </w:tc>
        <w:tc>
          <w:tcPr>
            <w:tcW w:w="111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服务对象满意度指标</w:t>
            </w: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群众满意度</w:t>
            </w:r>
          </w:p>
        </w:tc>
        <w:tc>
          <w:tcPr>
            <w:tcW w:w="860" w:type="dxa"/>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851" w:type="dxa"/>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6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980" w:type="dxa"/>
            <w:vMerge w:val="continue"/>
            <w:tcBorders>
              <w:left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2138" w:type="dxa"/>
            <w:gridSpan w:val="3"/>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指标2：</w:t>
            </w:r>
          </w:p>
        </w:tc>
        <w:tc>
          <w:tcPr>
            <w:tcW w:w="860"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851" w:type="dxa"/>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100</w:t>
            </w:r>
          </w:p>
        </w:tc>
        <w:tc>
          <w:tcPr>
            <w:tcW w:w="567" w:type="dxa"/>
            <w:gridSpan w:val="2"/>
            <w:tcBorders>
              <w:top w:val="nil"/>
              <w:left w:val="nil"/>
              <w:bottom w:val="single" w:color="auto" w:sz="4" w:space="0"/>
              <w:right w:val="single" w:color="auto" w:sz="4" w:space="0"/>
            </w:tcBorders>
            <w:noWrap w:val="0"/>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92</w:t>
            </w:r>
          </w:p>
        </w:tc>
        <w:tc>
          <w:tcPr>
            <w:tcW w:w="1417" w:type="dxa"/>
            <w:gridSpan w:val="2"/>
            <w:tcBorders>
              <w:top w:val="single" w:color="auto" w:sz="4" w:space="0"/>
              <w:left w:val="nil"/>
              <w:bottom w:val="single" w:color="auto" w:sz="4" w:space="0"/>
              <w:right w:val="single" w:color="auto" w:sz="4" w:space="0"/>
            </w:tcBorders>
            <w:noWrap w:val="0"/>
            <w:vAlign w:val="center"/>
          </w:tcPr>
          <w:p>
            <w:pPr>
              <w:widowControl/>
              <w:spacing w:line="0" w:lineRule="atLeast"/>
              <w:jc w:val="left"/>
              <w:rPr>
                <w:rFonts w:ascii="Calibri" w:hAnsi="Calibri" w:eastAsia="宋体" w:cs="Times New Roman"/>
                <w:color w:val="000000"/>
                <w:kern w:val="0"/>
                <w:sz w:val="22"/>
                <w:szCs w:val="22"/>
              </w:rPr>
            </w:pPr>
          </w:p>
        </w:tc>
      </w:tr>
    </w:tbl>
    <w:p>
      <w:pPr>
        <w:widowControl/>
        <w:spacing w:line="400" w:lineRule="exact"/>
        <w:jc w:val="left"/>
        <w:rPr>
          <w:color w:val="000000"/>
          <w:kern w:val="0"/>
          <w:sz w:val="18"/>
          <w:szCs w:val="18"/>
        </w:rPr>
      </w:pPr>
      <w:r>
        <w:rPr>
          <w:color w:val="000000"/>
          <w:kern w:val="0"/>
          <w:sz w:val="22"/>
          <w:szCs w:val="22"/>
        </w:rPr>
        <w:br w:type="page"/>
      </w:r>
      <w:r>
        <w:rPr>
          <w:sz w:val="18"/>
        </w:rPr>
        <mc:AlternateContent>
          <mc:Choice Requires="wps">
            <w:drawing>
              <wp:anchor distT="0" distB="0" distL="114300" distR="114300" simplePos="0" relativeHeight="251659264" behindDoc="0" locked="0" layoutInCell="1" allowOverlap="1">
                <wp:simplePos x="0" y="0"/>
                <wp:positionH relativeFrom="column">
                  <wp:posOffset>-107950</wp:posOffset>
                </wp:positionH>
                <wp:positionV relativeFrom="paragraph">
                  <wp:posOffset>185420</wp:posOffset>
                </wp:positionV>
                <wp:extent cx="6400800" cy="123825"/>
                <wp:effectExtent l="4445" t="5080" r="14605" b="4445"/>
                <wp:wrapNone/>
                <wp:docPr id="2" name="矩形 2"/>
                <wp:cNvGraphicFramePr/>
                <a:graphic xmlns:a="http://schemas.openxmlformats.org/drawingml/2006/main">
                  <a:graphicData uri="http://schemas.microsoft.com/office/word/2010/wordprocessingShape">
                    <wps:wsp>
                      <wps:cNvSpPr/>
                      <wps:spPr>
                        <a:xfrm>
                          <a:off x="0" y="0"/>
                          <a:ext cx="6400800" cy="123825"/>
                        </a:xfrm>
                        <a:prstGeom prst="rect">
                          <a:avLst/>
                        </a:prstGeom>
                        <a:solidFill>
                          <a:srgbClr val="FFFFFF"/>
                        </a:solidFill>
                        <a:ln w="9525" cap="flat" cmpd="sng">
                          <a:solidFill>
                            <a:srgbClr val="FFFFFF"/>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8.5pt;margin-top:14.6pt;height:9.75pt;width:504pt;z-index:251659264;mso-width-relative:page;mso-height-relative:page;" fillcolor="#FFFFFF" filled="t" stroked="t" coordsize="21600,21600" o:gfxdata="UEsDBAoAAAAAAIdO4kAAAAAAAAAAAAAAAAAEAAAAZHJzL1BLAwQUAAAACACHTuJA1c6batcAAAAJ&#10;AQAADwAAAGRycy9kb3ducmV2LnhtbE2PS0/DMBCE70j8B2uRuLVOooo2IZtKlCAuHEqB+9Zekgg/&#10;oth98esxJzjOzmj2m3p9tkYceQqDdwj5PAPBTnk9uA7h/e1ptgIRIjlNxjtGuHCAdXN9VVOl/cm9&#10;8nEXO5FKXKgIoY9xrKQMqmdLYe5Hdsn79JOlmOTUST3RKZVbI4ssu5OWBpc+9DTypmf1tTtYhC3R&#10;4/b7WamH9vKyaHnz0bI3iLc3eXYPIvI5/oXhFz+hQ5OY9v7gdBAGYZYv05aIUJQFiBQoyzwd9giL&#10;1RJkU8v/C5ofUEsDBBQAAAAIAIdO4kAxli4M9gEAAB4EAAAOAAAAZHJzL2Uyb0RvYy54bWytU82O&#10;0zAQviPxDpbvNGlgVyVqugdKuSBYaZcHmDpOYsl/8rhN+zRI3HgIHgfxGoyd0mV3Lz1sDs6MPf5m&#10;vm/Gy5uD0WwvAypnGz6flZxJK1yrbN/wb/ebNwvOMIJtQTsrG36UyG9Wr18tR1/Lyg1OtzIwArFY&#10;j77hQ4y+LgoUgzSAM+elpcPOBQOR3NAXbYCR0I0uqrK8LkYXWh+ckIi0u54O+QkxXALouk4JuXZi&#10;Z6SNE2qQGiJRwkF55KtcbddJEb92HcrIdMOJacwrJSF7m9ZitYS6D+AHJU4lwCUlPOFkQFlKeoZa&#10;QwS2C+oZlFEiOHRdnAlniolIVoRYzMsn2twN4GXmQlKjP4uOLwcrvuxvA1NtwyvOLBhq+J/vP3//&#10;+sGqpM3osaaQO38bTh6SmYgeumDSnyiwQ9bzeNZTHiITtHn9riwXJUkt6GxevV1UVwm0eLjtA8ZP&#10;0hmWjIYH6leWEfafMU6h/0JSMnRatRuldXZCv/2gA9sD9XaTvxP6ozBt2djw91eUmwmgge1oUMg0&#10;nkij7XO+RzfwMuBU2BpwmArICCk/1EZFmeSCepDQfrQti0dPwlp6TzwVY2TLmZb0/JKVIyMofUkk&#10;aactSZgaM7UiWVvXHqmNOx9UP5CO8yxEOqGxyYKfRjzN5f9+Rnp41qu/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c6batcAAAAJAQAADwAAAAAAAAABACAAAAAiAAAAZHJzL2Rvd25yZXYueG1sUEsB&#10;AhQAFAAAAAgAh07iQDGWLgz2AQAAHgQAAA4AAAAAAAAAAQAgAAAAJgEAAGRycy9lMm9Eb2MueG1s&#10;UEsFBgAAAAAGAAYAWQEAAI4FAAAAAA==&#10;">
                <v:fill on="t" focussize="0,0"/>
                <v:stroke color="#FFFFFF" joinstyle="miter"/>
                <v:imagedata o:title=""/>
                <o:lock v:ext="edit" aspectratio="f"/>
              </v:rect>
            </w:pict>
          </mc:Fallback>
        </mc:AlternateContent>
      </w:r>
    </w:p>
    <w:tbl>
      <w:tblPr>
        <w:tblStyle w:val="8"/>
        <w:tblW w:w="9540" w:type="dxa"/>
        <w:tblInd w:w="97" w:type="dxa"/>
        <w:tblLayout w:type="fixed"/>
        <w:tblCellMar>
          <w:top w:w="0" w:type="dxa"/>
          <w:left w:w="108" w:type="dxa"/>
          <w:bottom w:w="0" w:type="dxa"/>
          <w:right w:w="108" w:type="dxa"/>
        </w:tblCellMar>
      </w:tblPr>
      <w:tblGrid>
        <w:gridCol w:w="9540"/>
      </w:tblGrid>
      <w:tr>
        <w:tblPrEx>
          <w:tblCellMar>
            <w:top w:w="0" w:type="dxa"/>
            <w:left w:w="108" w:type="dxa"/>
            <w:bottom w:w="0" w:type="dxa"/>
            <w:right w:w="108" w:type="dxa"/>
          </w:tblCellMar>
        </w:tblPrEx>
        <w:trPr>
          <w:trHeight w:val="465" w:hRule="atLeast"/>
        </w:trPr>
        <w:tc>
          <w:tcPr>
            <w:tcW w:w="9540" w:type="dxa"/>
            <w:tcBorders>
              <w:top w:val="single" w:color="auto" w:sz="4" w:space="0"/>
              <w:left w:val="nil"/>
              <w:bottom w:val="nil"/>
              <w:right w:val="nil"/>
            </w:tcBorders>
            <w:noWrap w:val="0"/>
            <w:vAlign w:val="center"/>
          </w:tcPr>
          <w:p>
            <w:pPr>
              <w:widowControl/>
              <w:spacing w:line="400" w:lineRule="exact"/>
              <w:jc w:val="left"/>
              <w:rPr>
                <w:color w:val="000000"/>
                <w:kern w:val="0"/>
                <w:sz w:val="18"/>
                <w:szCs w:val="18"/>
              </w:rPr>
            </w:pPr>
            <w:r>
              <w:rPr>
                <w:color w:val="000000"/>
                <w:kern w:val="0"/>
                <w:sz w:val="18"/>
                <w:szCs w:val="18"/>
              </w:rPr>
              <w:t>注：1.一级指标分值统一设置为：产出指标50分、效益指标30分、服务对象满意度指标10分、预算资金执行率10分。如有特殊情况，上述权重可做适当调整，但加总后应等于100分。各部门根据各项指标重要程度确定三级指标的分值。得分一档最高不能超过该指标分值上限。</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color w:val="000000"/>
                <w:kern w:val="0"/>
                <w:sz w:val="18"/>
                <w:szCs w:val="18"/>
              </w:rPr>
            </w:pPr>
            <w:r>
              <w:rPr>
                <w:color w:val="000000"/>
                <w:kern w:val="0"/>
                <w:sz w:val="18"/>
                <w:szCs w:val="18"/>
              </w:rPr>
              <w:t xml:space="preserve">    2.定性指标根据指标完成情况分为：达成预期指标、部分达成预期指标并具有一定效果、未达成预期指标且效果较差三档，分别按照该指标对应分值区间100-80%(含80%)、80-50%(含50%)、50-0%合理确定分值。</w:t>
            </w:r>
          </w:p>
        </w:tc>
      </w:tr>
      <w:tr>
        <w:tblPrEx>
          <w:tblCellMar>
            <w:top w:w="0" w:type="dxa"/>
            <w:left w:w="108" w:type="dxa"/>
            <w:bottom w:w="0" w:type="dxa"/>
            <w:right w:w="108" w:type="dxa"/>
          </w:tblCellMar>
        </w:tblPrEx>
        <w:trPr>
          <w:trHeight w:val="465" w:hRule="atLeast"/>
        </w:trPr>
        <w:tc>
          <w:tcPr>
            <w:tcW w:w="9540" w:type="dxa"/>
            <w:tcBorders>
              <w:top w:val="nil"/>
              <w:left w:val="nil"/>
              <w:bottom w:val="nil"/>
              <w:right w:val="nil"/>
            </w:tcBorders>
            <w:noWrap w:val="0"/>
            <w:vAlign w:val="center"/>
          </w:tcPr>
          <w:p>
            <w:pPr>
              <w:widowControl/>
              <w:spacing w:line="400" w:lineRule="exact"/>
              <w:jc w:val="left"/>
              <w:rPr>
                <w:color w:val="000000"/>
                <w:kern w:val="0"/>
                <w:sz w:val="18"/>
                <w:szCs w:val="18"/>
              </w:rPr>
            </w:pPr>
            <w:r>
              <w:rPr>
                <w:color w:val="000000"/>
                <w:kern w:val="0"/>
                <w:sz w:val="18"/>
                <w:szCs w:val="18"/>
              </w:rPr>
              <w:t xml:space="preserve">    3.定量指标若为正向指标（即指标值为≥*），则得分计算方法应用全年实际值（B）/年度指标值（A）</w:t>
            </w:r>
            <w:r>
              <w:rPr>
                <w:color w:val="000000"/>
                <w:kern w:val="0"/>
                <w:sz w:val="12"/>
                <w:szCs w:val="12"/>
              </w:rPr>
              <w:t>╳</w:t>
            </w:r>
            <w:r>
              <w:rPr>
                <w:color w:val="000000"/>
                <w:kern w:val="0"/>
                <w:sz w:val="18"/>
                <w:szCs w:val="18"/>
              </w:rPr>
              <w:t>该指标分值；若定量指标为反向指标（即指标值为≤*），则得分计算方法应用年度指标值（A）/全年实际值（B）</w:t>
            </w:r>
            <w:r>
              <w:rPr>
                <w:color w:val="000000"/>
                <w:kern w:val="0"/>
                <w:sz w:val="12"/>
                <w:szCs w:val="12"/>
              </w:rPr>
              <w:t>╳</w:t>
            </w:r>
            <w:r>
              <w:rPr>
                <w:color w:val="000000"/>
                <w:kern w:val="0"/>
                <w:sz w:val="18"/>
                <w:szCs w:val="18"/>
              </w:rPr>
              <w:t>该指标分值。</w:t>
            </w:r>
          </w:p>
        </w:tc>
      </w:tr>
      <w:tr>
        <w:tblPrEx>
          <w:tblCellMar>
            <w:top w:w="0" w:type="dxa"/>
            <w:left w:w="108" w:type="dxa"/>
            <w:bottom w:w="0" w:type="dxa"/>
            <w:right w:w="108" w:type="dxa"/>
          </w:tblCellMar>
        </w:tblPrEx>
        <w:trPr>
          <w:trHeight w:val="210" w:hRule="atLeast"/>
        </w:trPr>
        <w:tc>
          <w:tcPr>
            <w:tcW w:w="9540" w:type="dxa"/>
            <w:tcBorders>
              <w:top w:val="nil"/>
              <w:left w:val="nil"/>
              <w:bottom w:val="nil"/>
              <w:right w:val="nil"/>
            </w:tcBorders>
            <w:noWrap/>
            <w:vAlign w:val="center"/>
          </w:tcPr>
          <w:p>
            <w:pPr>
              <w:widowControl/>
              <w:spacing w:line="400" w:lineRule="exact"/>
              <w:jc w:val="left"/>
              <w:rPr>
                <w:color w:val="000000"/>
                <w:kern w:val="0"/>
                <w:sz w:val="18"/>
                <w:szCs w:val="18"/>
              </w:rPr>
            </w:pPr>
            <w:r>
              <w:rPr>
                <w:color w:val="000000"/>
                <w:kern w:val="0"/>
                <w:sz w:val="18"/>
                <w:szCs w:val="18"/>
              </w:rPr>
              <w:t xml:space="preserve">    4.请在“</w:t>
            </w:r>
            <w:r>
              <w:rPr>
                <w:kern w:val="0"/>
                <w:sz w:val="18"/>
                <w:szCs w:val="18"/>
              </w:rPr>
              <w:t>偏差原因分析及改进措施</w:t>
            </w:r>
            <w:r>
              <w:rPr>
                <w:color w:val="000000"/>
                <w:kern w:val="0"/>
                <w:sz w:val="18"/>
                <w:szCs w:val="18"/>
              </w:rPr>
              <w:t>”中说明偏离目标、不能完成目标的原因及拟采取的措施。</w:t>
            </w:r>
          </w:p>
        </w:tc>
      </w:tr>
    </w:tbl>
    <w:p>
      <w:pPr>
        <w:widowControl/>
        <w:spacing w:line="400" w:lineRule="exact"/>
        <w:jc w:val="left"/>
        <w:rPr>
          <w:color w:val="000000"/>
          <w:kern w:val="0"/>
          <w:sz w:val="18"/>
          <w:szCs w:val="18"/>
        </w:rPr>
      </w:pPr>
    </w:p>
    <w:p/>
    <w:p>
      <w:pPr>
        <w:rPr>
          <w:rFonts w:eastAsia="黑体"/>
        </w:rPr>
        <w:sectPr>
          <w:footerReference r:id="rId3" w:type="default"/>
          <w:pgSz w:w="11906" w:h="16838"/>
          <w:pgMar w:top="1587" w:right="1587" w:bottom="1587" w:left="1587" w:header="737" w:footer="850" w:gutter="0"/>
          <w:cols w:space="720" w:num="1"/>
          <w:docGrid w:type="lines" w:linePitch="408" w:charSpace="0"/>
        </w:sectPr>
      </w:pPr>
    </w:p>
    <w:p>
      <w:pPr>
        <w:spacing w:line="560" w:lineRule="exact"/>
        <w:rPr>
          <w:rFonts w:eastAsia="仿宋_GB2312"/>
          <w:bCs/>
          <w:color w:val="000000"/>
          <w:sz w:val="32"/>
          <w:szCs w:val="32"/>
        </w:rPr>
      </w:pPr>
      <w:r>
        <w:rPr>
          <w:rFonts w:eastAsia="仿宋_GB2312"/>
          <w:bCs/>
          <w:color w:val="000000"/>
          <w:sz w:val="32"/>
          <w:szCs w:val="32"/>
        </w:rPr>
        <w:t>附件</w:t>
      </w:r>
      <w:r>
        <w:rPr>
          <w:rFonts w:hint="eastAsia" w:eastAsia="仿宋_GB2312"/>
          <w:bCs/>
          <w:color w:val="000000"/>
          <w:sz w:val="32"/>
          <w:szCs w:val="32"/>
        </w:rPr>
        <w:t>2</w:t>
      </w:r>
    </w:p>
    <w:p>
      <w:pPr>
        <w:pStyle w:val="5"/>
        <w:spacing w:before="0" w:after="0" w:line="240" w:lineRule="auto"/>
        <w:jc w:val="center"/>
        <w:rPr>
          <w:rFonts w:hint="eastAsia" w:ascii="Times New Roman" w:hAnsi="Times New Roman" w:eastAsia="宋体"/>
          <w:bCs/>
          <w:color w:val="000000"/>
          <w:sz w:val="36"/>
          <w:szCs w:val="28"/>
          <w:lang w:eastAsia="zh-CN"/>
        </w:rPr>
      </w:pPr>
      <w:r>
        <w:rPr>
          <w:rFonts w:ascii="Times New Roman" w:hAnsi="Times New Roman" w:eastAsia="宋体"/>
          <w:bCs/>
          <w:color w:val="000000"/>
          <w:sz w:val="36"/>
          <w:szCs w:val="28"/>
        </w:rPr>
        <w:t>项目支出绩效评价指标</w:t>
      </w:r>
      <w:r>
        <w:rPr>
          <w:rFonts w:hint="eastAsia" w:ascii="Times New Roman" w:hAnsi="Times New Roman" w:eastAsia="宋体"/>
          <w:bCs/>
          <w:color w:val="000000"/>
          <w:sz w:val="36"/>
          <w:szCs w:val="28"/>
          <w:lang w:eastAsia="zh-CN"/>
        </w:rPr>
        <w:t>体系</w:t>
      </w:r>
    </w:p>
    <w:tbl>
      <w:tblPr>
        <w:tblStyle w:val="8"/>
        <w:tblW w:w="1369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690"/>
        <w:gridCol w:w="705"/>
        <w:gridCol w:w="1140"/>
        <w:gridCol w:w="600"/>
        <w:gridCol w:w="2265"/>
        <w:gridCol w:w="5715"/>
        <w:gridCol w:w="2013"/>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7" w:hRule="atLeast"/>
          <w:tblHeader/>
          <w:jc w:val="center"/>
        </w:trPr>
        <w:tc>
          <w:tcPr>
            <w:tcW w:w="69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0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114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600" w:type="dxa"/>
            <w:shd w:val="clear" w:color="auto" w:fill="FFFFFF"/>
            <w:noWrap w:val="0"/>
            <w:vAlign w:val="top"/>
          </w:tcPr>
          <w:p>
            <w:pPr>
              <w:widowControl/>
              <w:spacing w:line="0" w:lineRule="atLeast"/>
              <w:jc w:val="center"/>
              <w:rPr>
                <w:b/>
                <w:bCs/>
                <w:color w:val="000000"/>
                <w:kern w:val="0"/>
                <w:sz w:val="22"/>
                <w:szCs w:val="22"/>
              </w:rPr>
            </w:pPr>
            <w:r>
              <w:rPr>
                <w:b/>
                <w:bCs/>
                <w:color w:val="000000"/>
                <w:kern w:val="0"/>
                <w:sz w:val="22"/>
                <w:szCs w:val="22"/>
              </w:rPr>
              <w:t>分</w:t>
            </w:r>
          </w:p>
          <w:p>
            <w:pPr>
              <w:widowControl/>
              <w:spacing w:line="0" w:lineRule="atLeast"/>
              <w:jc w:val="center"/>
              <w:rPr>
                <w:b/>
                <w:bCs/>
                <w:color w:val="000000"/>
                <w:kern w:val="0"/>
                <w:sz w:val="22"/>
                <w:szCs w:val="22"/>
              </w:rPr>
            </w:pPr>
            <w:r>
              <w:rPr>
                <w:b/>
                <w:bCs/>
                <w:color w:val="000000"/>
                <w:kern w:val="0"/>
                <w:sz w:val="22"/>
                <w:szCs w:val="22"/>
              </w:rPr>
              <w:t>值</w:t>
            </w:r>
          </w:p>
        </w:tc>
        <w:tc>
          <w:tcPr>
            <w:tcW w:w="226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71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2013" w:type="dxa"/>
            <w:shd w:val="clear" w:color="auto" w:fill="FFFFFF"/>
            <w:noWrap w:val="0"/>
            <w:vAlign w:val="center"/>
          </w:tcPr>
          <w:p>
            <w:pPr>
              <w:widowControl/>
              <w:spacing w:line="0" w:lineRule="atLeast"/>
              <w:jc w:val="center"/>
              <w:rPr>
                <w:b/>
                <w:bCs/>
                <w:color w:val="000000"/>
                <w:kern w:val="0"/>
                <w:sz w:val="22"/>
                <w:szCs w:val="22"/>
              </w:rPr>
            </w:pPr>
            <w:r>
              <w:rPr>
                <w:rFonts w:hint="eastAsia" w:ascii="Times New Roman" w:hAnsi="Times New Roman"/>
                <w:b/>
                <w:bCs/>
                <w:color w:val="000000"/>
                <w:kern w:val="0"/>
                <w:sz w:val="22"/>
                <w:lang w:eastAsia="zh-CN"/>
              </w:rPr>
              <w:t>评分标准</w:t>
            </w:r>
          </w:p>
        </w:tc>
        <w:tc>
          <w:tcPr>
            <w:tcW w:w="566"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决策　</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w:t>
            </w:r>
          </w:p>
        </w:tc>
        <w:tc>
          <w:tcPr>
            <w:tcW w:w="705"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项目立项　</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立项依据</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充分性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项目立项是否符合法律法规、相关政策、发展规划以及部门职责，用以反映和考核项目立项依据情况。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①项目立项是否符合国家法律法规、国民经济发展规划和相关政策；</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②项目立项是否符合行业发展规划和政策要求；</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③项目立项是否与部门职责范围相符，属于部门履职所需；</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④项目是否属于公共财政支持范围，是否符合中央、地方事权支出责任划分原则；</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⑤项目是否与相关部门同类项目或部门内部相关项目重复。</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项目立项符合法律法规</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w:t>
            </w:r>
            <w:r>
              <w:rPr>
                <w:rFonts w:ascii="Calibri" w:hAnsi="Calibri" w:eastAsia="宋体" w:cs="Times New Roman"/>
                <w:color w:val="000000"/>
                <w:kern w:val="0"/>
                <w:sz w:val="22"/>
                <w:szCs w:val="22"/>
              </w:rPr>
              <w:t>、相关政策</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符合</w:t>
            </w:r>
            <w:r>
              <w:rPr>
                <w:rFonts w:ascii="Calibri" w:hAnsi="Calibri" w:eastAsia="宋体" w:cs="Times New Roman"/>
                <w:color w:val="000000"/>
                <w:kern w:val="0"/>
                <w:sz w:val="22"/>
                <w:szCs w:val="22"/>
              </w:rPr>
              <w:t>发展规划</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立项程序</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规范性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3</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项目申请、设立过程是否符合相关要求，用以反映和考核项目立项的规范情况。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①项目是否按照规定的程序申请设立；</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②审批文件、材料是否符合相关要求；</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③事前是否已经过必要的可行性研究、专家论证、风险评估、绩效评估、集体决策。</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项目申请符合相关要求</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w:t>
            </w:r>
            <w:r>
              <w:rPr>
                <w:rFonts w:ascii="Calibri" w:hAnsi="Calibri" w:eastAsia="宋体" w:cs="Times New Roman"/>
                <w:color w:val="000000"/>
                <w:kern w:val="0"/>
                <w:sz w:val="22"/>
                <w:szCs w:val="22"/>
              </w:rPr>
              <w:t>、设立过程</w:t>
            </w:r>
            <w:r>
              <w:rPr>
                <w:rFonts w:hint="eastAsia" w:ascii="Calibri" w:hAnsi="Calibri" w:eastAsia="宋体" w:cs="Times New Roman"/>
                <w:color w:val="000000"/>
                <w:kern w:val="0"/>
                <w:sz w:val="22"/>
                <w:szCs w:val="22"/>
                <w:lang w:eastAsia="zh-CN"/>
              </w:rPr>
              <w:t>符合要求得</w:t>
            </w:r>
            <w:r>
              <w:rPr>
                <w:rFonts w:hint="eastAsia" w:ascii="Calibri" w:hAnsi="Calibri" w:eastAsia="宋体" w:cs="Times New Roman"/>
                <w:color w:val="000000"/>
                <w:kern w:val="0"/>
                <w:sz w:val="22"/>
                <w:szCs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绩效目标　</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绩效目标</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合理性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项目所设定的绩效目标是否依据充分，是否符合客观实际，用以反映和考核项目绩效目标与项目实施的相符情况。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（如未设定预算绩效目标，也可考核其他工作任务目标）</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①项目是否有绩效目标；</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②项目绩效目标与实际工作内容是否具有相关性；</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③项目预期产出效益和效果是否符合正常的业绩水平；</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④是否与预算确定的项目投资额或资金量相匹配。</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val="en-US" w:eastAsia="zh-CN"/>
              </w:rPr>
            </w:pPr>
            <w:r>
              <w:rPr>
                <w:rFonts w:ascii="Calibri" w:hAnsi="Calibri" w:eastAsia="宋体" w:cs="Times New Roman"/>
                <w:color w:val="000000"/>
                <w:kern w:val="0"/>
                <w:sz w:val="22"/>
                <w:szCs w:val="22"/>
              </w:rPr>
              <w:t>项目有绩效目</w:t>
            </w:r>
            <w:r>
              <w:rPr>
                <w:rFonts w:hint="eastAsia" w:ascii="Calibri" w:hAnsi="Calibri" w:eastAsia="宋体" w:cs="Times New Roman"/>
                <w:color w:val="000000"/>
                <w:kern w:val="0"/>
                <w:sz w:val="22"/>
                <w:szCs w:val="22"/>
                <w:lang w:eastAsia="zh-CN"/>
              </w:rPr>
              <w:t>标得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绩效目标依据充分</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p>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符合客观实际</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1分，与资金量相匹配得1分，缺一项扣1分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决策　</w:t>
            </w: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绩效目标</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绩效指标</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明确性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依据绩效目标设定的绩效指标是否清晰、细化、可衡量等，用以反映和考核项目绩效目标的明细化情况。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①是否将项目绩效目标细化分解为具体的绩效指标；</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②是否通过清晰、可衡量的指标值予以体现；</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③是否与项目目标任务数或计划数相对应。</w:t>
            </w:r>
          </w:p>
          <w:p>
            <w:pPr>
              <w:widowControl/>
              <w:spacing w:line="0" w:lineRule="atLeast"/>
              <w:jc w:val="center"/>
              <w:rPr>
                <w:rFonts w:hint="eastAsia" w:ascii="Calibri" w:hAnsi="Calibri" w:eastAsia="宋体" w:cs="Times New Roman"/>
                <w:color w:val="000000"/>
                <w:kern w:val="0"/>
                <w:sz w:val="22"/>
                <w:szCs w:val="22"/>
                <w:lang w:eastAsia="zh-CN"/>
              </w:rPr>
            </w:pP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val="en-US" w:eastAsia="zh-CN"/>
              </w:rPr>
            </w:pPr>
            <w:r>
              <w:rPr>
                <w:rFonts w:ascii="Calibri" w:hAnsi="Calibri" w:eastAsia="宋体" w:cs="Times New Roman"/>
                <w:color w:val="000000"/>
                <w:kern w:val="0"/>
                <w:sz w:val="22"/>
                <w:szCs w:val="22"/>
              </w:rPr>
              <w:t>将项目绩效目标细化分解为具体的绩效指标</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2分，指标值清晰得2分缺一项扣2分</w:t>
            </w:r>
          </w:p>
          <w:p>
            <w:pPr>
              <w:widowControl/>
              <w:spacing w:line="0" w:lineRule="atLeast"/>
              <w:jc w:val="center"/>
              <w:rPr>
                <w:rFonts w:hint="eastAsia" w:ascii="Calibri" w:hAnsi="Calibri" w:eastAsia="宋体" w:cs="Times New Roman"/>
                <w:color w:val="000000"/>
                <w:kern w:val="0"/>
                <w:sz w:val="22"/>
                <w:szCs w:val="22"/>
                <w:lang w:val="en-US" w:eastAsia="zh-CN"/>
              </w:rPr>
            </w:pP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资金投入</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预算编制</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科学性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3</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项目预算编制是否经过科学论证、有明确标准，资金额度与年度目标是否相适应，用以反映和考核项目预算编制的科学性、合理性情况。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①预算编制是否经过科学论证；</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②预算内容与项目内容是否匹配；</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③预算额度测算依据是否充分，是否按照标准编制；</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④预算确定的项目投资额或资金量是否与工作任务相匹配。</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预算编制经过科学论证</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1分，内容与项目匹配1分，按照标准编制得0.5分，资金与工作任务匹配0.5分，缺项对应项不得分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资金分配</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合理性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3</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项目预算资金分配是否有测算依据，与补助单位或地方实际是否相适应，用以反映和考核项目预算资金分配的科学性、合理性情况。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①预算资金分配依据是否充分；</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②资金分配额度是否合理，与项目单位或地方实际是否相适应。</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预算资金分配依据充分</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资金分配额度合理</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2分，缺一项扣1分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过程</w:t>
            </w:r>
          </w:p>
        </w:tc>
        <w:tc>
          <w:tcPr>
            <w:tcW w:w="705"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资金管理</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资金到位率</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3</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实际到位资金与预算资金的比率，用以反映和考核资金落实情况对项目实施的总体保障程度。</w:t>
            </w:r>
          </w:p>
        </w:tc>
        <w:tc>
          <w:tcPr>
            <w:tcW w:w="571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资金到位率=（实际到位资金/预算资金）×100%。</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实际到位资金：一定时期（本年度或项目期）内落实到具体项目的资金。</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预算资金：一定时期（本年度或项目期）内预算安排到具体项目的资金。</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资金到位率</w:t>
            </w:r>
            <w:r>
              <w:rPr>
                <w:rFonts w:hint="eastAsia" w:ascii="Calibri" w:hAnsi="Calibri" w:eastAsia="宋体" w:cs="Times New Roman"/>
                <w:color w:val="000000"/>
                <w:kern w:val="0"/>
                <w:sz w:val="22"/>
                <w:szCs w:val="22"/>
                <w:lang w:val="en-US" w:eastAsia="zh-CN"/>
              </w:rPr>
              <w:t>100%得3分，每每减少5%扣1分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预算执行率</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项目预算资金是否按照计划执行，用以反映或考核项目预算执行情况。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预算执行率=（实际支出资金/实际到位资金）×100%。</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实际支出资金：一定时期（本年度或项目期）内项目实际拨付的资金。</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预算执行率</w:t>
            </w:r>
            <w:r>
              <w:rPr>
                <w:rFonts w:hint="eastAsia" w:ascii="Calibri" w:hAnsi="Calibri" w:eastAsia="宋体" w:cs="Times New Roman"/>
                <w:color w:val="000000"/>
                <w:kern w:val="0"/>
                <w:sz w:val="22"/>
                <w:szCs w:val="22"/>
                <w:lang w:val="en-US" w:eastAsia="zh-CN"/>
              </w:rPr>
              <w:t>100%得4分每减少5%扣1分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过程　</w:t>
            </w: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资金管理</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资金使用</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合规性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项目资金使用是否符合相关的财务管理制度规定，用以反映和考核项目资金的规范运行情况。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①是否符合国家财经法规和财务管理制度以及有关专项资金管理办法的规定；</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②资金的拨付是否有完整的审批程序和手续；</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③是否符合项目预算批复或合同规定的用途；</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④是否存在截留、挤占、挪用、虚列支出等情况。</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符合国家财经法规</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w:t>
            </w:r>
            <w:r>
              <w:rPr>
                <w:rFonts w:ascii="Calibri" w:hAnsi="Calibri" w:eastAsia="宋体" w:cs="Times New Roman"/>
                <w:color w:val="000000"/>
                <w:kern w:val="0"/>
                <w:sz w:val="22"/>
                <w:szCs w:val="22"/>
              </w:rPr>
              <w:t>资金的拨付是否有完整的审批程序和手续</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符合项目预算批复规定的用途</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1分缺一项扣1分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组织实施</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管理制度</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健全性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项目实施单位的财务和业务管理制度是否健全，用以反映和考核财务和业务管理制度对项目顺利实施的保障情况。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①是否已制定或具有相应的财务和业务管理制度；</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②财务和业务管理制度是否合法、合规、完整。</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val="en-US" w:eastAsia="zh-CN"/>
              </w:rPr>
            </w:pPr>
            <w:r>
              <w:rPr>
                <w:rFonts w:ascii="Calibri" w:hAnsi="Calibri" w:eastAsia="宋体" w:cs="Times New Roman"/>
                <w:color w:val="000000"/>
                <w:kern w:val="0"/>
                <w:sz w:val="22"/>
                <w:szCs w:val="22"/>
              </w:rPr>
              <w:t>制定或具有相应的财务和业务管理制度</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w:t>
            </w:r>
            <w:r>
              <w:rPr>
                <w:rFonts w:ascii="Calibri" w:hAnsi="Calibri" w:eastAsia="宋体" w:cs="Times New Roman"/>
                <w:color w:val="000000"/>
                <w:kern w:val="0"/>
                <w:sz w:val="22"/>
                <w:szCs w:val="22"/>
              </w:rPr>
              <w:t>；制度是否合法、合规、完整</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2分缺一项扣1分</w:t>
            </w:r>
          </w:p>
          <w:p>
            <w:pPr>
              <w:widowControl/>
              <w:spacing w:line="0" w:lineRule="atLeast"/>
              <w:jc w:val="center"/>
              <w:rPr>
                <w:rFonts w:hint="eastAsia" w:ascii="Calibri" w:hAnsi="Calibri" w:eastAsia="宋体" w:cs="Times New Roman"/>
                <w:color w:val="000000"/>
                <w:kern w:val="0"/>
                <w:sz w:val="22"/>
                <w:szCs w:val="22"/>
                <w:lang w:val="en-US" w:eastAsia="zh-CN"/>
              </w:rPr>
            </w:pP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制度执行</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有效性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4</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项目实施是否符合相关管理规定，用以反映和考核相关管理制度的有效执行情况。</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评价要点：</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①是否遵守相关法律法规和相关管理规定；</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②项目调整及支出调整手续是否完备；</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③项目合同书、验收报告、技术鉴定等资料是否齐全并及时归档；</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④项目实施的人员条件、场地设备、信息支撑等是否落实到位。</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遵守相关规定</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项目调整手续完备</w:t>
            </w:r>
            <w:r>
              <w:rPr>
                <w:rFonts w:hint="eastAsia" w:ascii="Calibri" w:hAnsi="Calibri" w:eastAsia="宋体" w:cs="Times New Roman"/>
                <w:color w:val="000000"/>
                <w:kern w:val="0"/>
                <w:sz w:val="22"/>
                <w:szCs w:val="22"/>
                <w:lang w:eastAsia="zh-CN"/>
              </w:rPr>
              <w:t>得</w:t>
            </w:r>
            <w:r>
              <w:rPr>
                <w:rFonts w:hint="eastAsia" w:ascii="Calibri" w:hAnsi="Calibri" w:eastAsia="宋体" w:cs="Times New Roman"/>
                <w:color w:val="000000"/>
                <w:kern w:val="0"/>
                <w:sz w:val="22"/>
                <w:szCs w:val="22"/>
                <w:lang w:val="en-US" w:eastAsia="zh-CN"/>
              </w:rPr>
              <w:t>1分</w:t>
            </w:r>
            <w:r>
              <w:rPr>
                <w:rFonts w:ascii="Calibri" w:hAnsi="Calibri" w:eastAsia="宋体" w:cs="Times New Roman"/>
                <w:color w:val="000000"/>
                <w:kern w:val="0"/>
                <w:sz w:val="22"/>
                <w:szCs w:val="22"/>
              </w:rPr>
              <w:t>；</w:t>
            </w:r>
            <w:r>
              <w:rPr>
                <w:rFonts w:hint="eastAsia" w:ascii="Calibri" w:hAnsi="Calibri" w:eastAsia="宋体" w:cs="Times New Roman"/>
                <w:color w:val="000000"/>
                <w:kern w:val="0"/>
                <w:sz w:val="22"/>
                <w:szCs w:val="22"/>
                <w:lang w:eastAsia="zh-CN"/>
              </w:rPr>
              <w:t>资料及时归档得</w:t>
            </w:r>
            <w:r>
              <w:rPr>
                <w:rFonts w:hint="eastAsia" w:ascii="Calibri" w:hAnsi="Calibri" w:eastAsia="宋体" w:cs="Times New Roman"/>
                <w:color w:val="000000"/>
                <w:kern w:val="0"/>
                <w:sz w:val="22"/>
                <w:szCs w:val="22"/>
                <w:lang w:val="en-US" w:eastAsia="zh-CN"/>
              </w:rPr>
              <w:t>1分，项目实施落实到位得1分，缺一项扣1分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69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w:t>
            </w: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产出数量</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实际完成率</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8</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项目实施的实际产出数与计划产出数的比率，用以反映和考核项目产出数量目标的实现程度。</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实际完成率=（实际产出数/计划产出数）×100%。</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实际产出数：一定时期（本年度或项目期）内项目实际产出的产品或提供的服务数量。</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计划产出数：项目绩效目标确定的在一定时期（本年度或项目期）内计划产出的产品或提供的服务数量。</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实际完成率</w:t>
            </w:r>
            <w:r>
              <w:rPr>
                <w:rFonts w:hint="eastAsia" w:ascii="Calibri" w:hAnsi="Calibri" w:eastAsia="宋体" w:cs="Times New Roman"/>
                <w:color w:val="000000"/>
                <w:kern w:val="0"/>
                <w:sz w:val="22"/>
                <w:szCs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w:t>
            </w: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产出质量</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质量达标率</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8</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项目完成的质量达标产出数与实际产出数的比率，用以反映和考核项目产出质量目标的实现程度。</w:t>
            </w:r>
          </w:p>
        </w:tc>
        <w:tc>
          <w:tcPr>
            <w:tcW w:w="571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质量达标率=（质量达标产出数/实际产出数）×100%。</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完成100%计</w:t>
            </w:r>
            <w:r>
              <w:rPr>
                <w:rFonts w:hint="eastAsia" w:ascii="Calibri" w:hAnsi="Calibri" w:eastAsia="宋体" w:cs="Times New Roman"/>
                <w:color w:val="000000"/>
                <w:kern w:val="0"/>
                <w:sz w:val="22"/>
                <w:szCs w:val="22"/>
                <w:lang w:val="en-US" w:eastAsia="zh-CN"/>
              </w:rPr>
              <w:t>8</w:t>
            </w:r>
            <w:r>
              <w:rPr>
                <w:rFonts w:hint="eastAsia" w:ascii="Calibri" w:hAnsi="Calibri" w:eastAsia="宋体" w:cs="Times New Roman"/>
                <w:color w:val="000000"/>
                <w:kern w:val="0"/>
                <w:sz w:val="22"/>
                <w:szCs w:val="22"/>
              </w:rPr>
              <w:t>分，每下降1%扣0.5分，扣完为止</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产出时效</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完成及时性</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8</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项目实际完成时间与计划完成时间的比较，用以反映和考核项目产出时效目标的实现程度。</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实际完成时间：项目实施单位完成该项目实际所耗用的时间。</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计划完成时间：按照项目实施计划或相关规定完成该项目所需的时间。</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按计划完成计</w:t>
            </w:r>
            <w:r>
              <w:rPr>
                <w:rFonts w:hint="eastAsia" w:ascii="Calibri" w:hAnsi="Calibri" w:eastAsia="宋体" w:cs="Times New Roman"/>
                <w:color w:val="000000"/>
                <w:kern w:val="0"/>
                <w:sz w:val="22"/>
                <w:szCs w:val="22"/>
                <w:lang w:val="en-US" w:eastAsia="zh-CN"/>
              </w:rPr>
              <w:t>8</w:t>
            </w:r>
            <w:r>
              <w:rPr>
                <w:rFonts w:hint="eastAsia" w:ascii="Calibri" w:hAnsi="Calibri" w:eastAsia="宋体" w:cs="Times New Roman"/>
                <w:color w:val="000000"/>
                <w:kern w:val="0"/>
                <w:sz w:val="22"/>
                <w:szCs w:val="22"/>
              </w:rPr>
              <w:t>分，否则酌情扣分</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产出成本</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成本节约率</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8</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完成项目计划工作目标的实际节约成本与计划成本的比率，用以反映和考核项目的成本节约程度。</w:t>
            </w:r>
          </w:p>
        </w:tc>
        <w:tc>
          <w:tcPr>
            <w:tcW w:w="5715"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lang w:eastAsia="zh-CN"/>
              </w:rPr>
            </w:pP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成本节约率=[（计划成本-实际成本）/计划成本]×100%。</w:t>
            </w:r>
          </w:p>
          <w:p>
            <w:pPr>
              <w:widowControl/>
              <w:spacing w:line="0" w:lineRule="atLeast"/>
              <w:jc w:val="center"/>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实际成本：项目实施单位如期、保质、保量完成既定工作目标实际所耗费的支出。</w:t>
            </w:r>
          </w:p>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计划成本：项目实施单位为完成工作目标计划安排的支出，一般以项目预算为参考。</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项目成本控制在总成本范围内，得</w:t>
            </w:r>
            <w:r>
              <w:rPr>
                <w:rFonts w:hint="eastAsia" w:ascii="Calibri" w:hAnsi="Calibri" w:eastAsia="宋体" w:cs="Times New Roman"/>
                <w:color w:val="000000"/>
                <w:kern w:val="0"/>
                <w:sz w:val="22"/>
                <w:szCs w:val="22"/>
                <w:lang w:val="en-US" w:eastAsia="zh-CN"/>
              </w:rPr>
              <w:t>8</w:t>
            </w:r>
            <w:r>
              <w:rPr>
                <w:rFonts w:hint="eastAsia" w:ascii="Calibri" w:hAnsi="Calibri" w:eastAsia="宋体" w:cs="Times New Roman"/>
                <w:color w:val="000000"/>
                <w:kern w:val="0"/>
                <w:sz w:val="22"/>
                <w:szCs w:val="22"/>
              </w:rPr>
              <w:t>分，每下降1%，扣0.5分，扣完为止。</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690"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效益　</w:t>
            </w:r>
          </w:p>
        </w:tc>
        <w:tc>
          <w:tcPr>
            <w:tcW w:w="705" w:type="dxa"/>
            <w:vMerge w:val="restart"/>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项目效益　</w:t>
            </w: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实施效益</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20</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项目实施所产生的效益。</w:t>
            </w:r>
          </w:p>
        </w:tc>
        <w:tc>
          <w:tcPr>
            <w:tcW w:w="571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项目实施所产生的社会效益、经济效益、生态效益、可持续影响等。可根据项目实际情况有选择地设置和细化。</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效益评价优</w:t>
            </w:r>
            <w:r>
              <w:rPr>
                <w:rFonts w:hint="eastAsia" w:ascii="Calibri" w:hAnsi="Calibri" w:eastAsia="宋体" w:cs="Times New Roman"/>
                <w:color w:val="000000"/>
                <w:kern w:val="0"/>
                <w:sz w:val="22"/>
                <w:szCs w:val="22"/>
                <w:lang w:val="en-US" w:eastAsia="zh-CN"/>
              </w:rPr>
              <w:t>20</w:t>
            </w:r>
            <w:r>
              <w:rPr>
                <w:rFonts w:hint="eastAsia" w:ascii="Calibri" w:hAnsi="Calibri" w:eastAsia="宋体" w:cs="Times New Roman"/>
                <w:color w:val="000000"/>
                <w:kern w:val="0"/>
                <w:sz w:val="22"/>
                <w:szCs w:val="22"/>
              </w:rPr>
              <w:t>分、良好</w:t>
            </w:r>
            <w:r>
              <w:rPr>
                <w:rFonts w:hint="eastAsia" w:ascii="Calibri" w:hAnsi="Calibri" w:eastAsia="宋体" w:cs="Times New Roman"/>
                <w:color w:val="000000"/>
                <w:kern w:val="0"/>
                <w:sz w:val="22"/>
                <w:szCs w:val="22"/>
                <w:lang w:val="en-US" w:eastAsia="zh-CN"/>
              </w:rPr>
              <w:t>16</w:t>
            </w:r>
            <w:r>
              <w:rPr>
                <w:rFonts w:hint="eastAsia" w:ascii="Calibri" w:hAnsi="Calibri" w:eastAsia="宋体" w:cs="Times New Roman"/>
                <w:color w:val="000000"/>
                <w:kern w:val="0"/>
                <w:sz w:val="22"/>
                <w:szCs w:val="22"/>
              </w:rPr>
              <w:t>分、及格</w:t>
            </w:r>
            <w:r>
              <w:rPr>
                <w:rFonts w:hint="eastAsia" w:ascii="Calibri" w:hAnsi="Calibri" w:eastAsia="宋体" w:cs="Times New Roman"/>
                <w:color w:val="000000"/>
                <w:kern w:val="0"/>
                <w:sz w:val="22"/>
                <w:szCs w:val="22"/>
                <w:lang w:val="en-US" w:eastAsia="zh-CN"/>
              </w:rPr>
              <w:t>12</w:t>
            </w:r>
            <w:r>
              <w:rPr>
                <w:rFonts w:hint="eastAsia" w:ascii="Calibri" w:hAnsi="Calibri" w:eastAsia="宋体" w:cs="Times New Roman"/>
                <w:color w:val="000000"/>
                <w:kern w:val="0"/>
                <w:sz w:val="22"/>
                <w:szCs w:val="22"/>
              </w:rPr>
              <w:t>分、不及格0分</w:t>
            </w:r>
          </w:p>
        </w:tc>
        <w:tc>
          <w:tcPr>
            <w:tcW w:w="566"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690"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705" w:type="dxa"/>
            <w:vMerge w:val="continue"/>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114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满意度</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8</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社会公众或服务对象对项目实施效果的满意程度。</w:t>
            </w:r>
          </w:p>
        </w:tc>
        <w:tc>
          <w:tcPr>
            <w:tcW w:w="571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社会公众或服务对象是指因该项目实施而受到影响的部门（单位）、群体或个人。一般采取社会调查的方式。</w:t>
            </w: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eastAsia="zh-CN"/>
              </w:rPr>
              <w:t>服务对象</w:t>
            </w:r>
            <w:r>
              <w:rPr>
                <w:rFonts w:ascii="Calibri" w:hAnsi="Calibri" w:eastAsia="宋体" w:cs="Times New Roman"/>
                <w:color w:val="000000"/>
                <w:kern w:val="0"/>
                <w:sz w:val="22"/>
                <w:szCs w:val="22"/>
              </w:rPr>
              <w:t>满意度</w:t>
            </w:r>
            <w:r>
              <w:rPr>
                <w:rFonts w:hint="eastAsia" w:ascii="Calibri" w:hAnsi="Calibri" w:eastAsia="宋体" w:cs="Times New Roman"/>
                <w:color w:val="000000"/>
                <w:kern w:val="0"/>
                <w:sz w:val="22"/>
                <w:szCs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535" w:type="dxa"/>
            <w:gridSpan w:val="3"/>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总分</w:t>
            </w:r>
          </w:p>
        </w:tc>
        <w:tc>
          <w:tcPr>
            <w:tcW w:w="600"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100</w:t>
            </w:r>
          </w:p>
        </w:tc>
        <w:tc>
          <w:tcPr>
            <w:tcW w:w="226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5715" w:type="dxa"/>
            <w:shd w:val="clear" w:color="auto" w:fill="FFFFFF"/>
            <w:noWrap w:val="0"/>
            <w:vAlign w:val="center"/>
          </w:tcPr>
          <w:p>
            <w:pPr>
              <w:widowControl/>
              <w:spacing w:line="0" w:lineRule="atLeast"/>
              <w:jc w:val="center"/>
              <w:rPr>
                <w:rFonts w:ascii="Calibri" w:hAnsi="Calibri" w:eastAsia="宋体" w:cs="Times New Roman"/>
                <w:color w:val="000000"/>
                <w:kern w:val="0"/>
                <w:sz w:val="22"/>
                <w:szCs w:val="22"/>
              </w:rPr>
            </w:pPr>
          </w:p>
        </w:tc>
        <w:tc>
          <w:tcPr>
            <w:tcW w:w="2013" w:type="dxa"/>
            <w:shd w:val="clear" w:color="auto" w:fill="FFFFFF"/>
            <w:noWrap w:val="0"/>
            <w:vAlign w:val="center"/>
          </w:tcPr>
          <w:p>
            <w:pPr>
              <w:widowControl/>
              <w:spacing w:line="0" w:lineRule="atLeast"/>
              <w:jc w:val="center"/>
              <w:rPr>
                <w:rFonts w:hint="eastAsia" w:ascii="Calibri" w:hAnsi="Calibri" w:eastAsia="宋体" w:cs="Times New Roman"/>
                <w:color w:val="000000"/>
                <w:kern w:val="0"/>
                <w:sz w:val="22"/>
                <w:szCs w:val="22"/>
              </w:rPr>
            </w:pPr>
          </w:p>
        </w:tc>
        <w:tc>
          <w:tcPr>
            <w:tcW w:w="566" w:type="dxa"/>
            <w:shd w:val="clear" w:color="auto" w:fill="FFFFFF"/>
            <w:noWrap w:val="0"/>
            <w:vAlign w:val="center"/>
          </w:tcPr>
          <w:p>
            <w:pPr>
              <w:widowControl/>
              <w:spacing w:line="0" w:lineRule="atLeast"/>
              <w:jc w:val="center"/>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92</w:t>
            </w:r>
          </w:p>
        </w:tc>
      </w:tr>
    </w:tbl>
    <w:p>
      <w:pPr>
        <w:widowControl/>
        <w:spacing w:line="0" w:lineRule="atLeast"/>
        <w:jc w:val="center"/>
        <w:rPr>
          <w:rFonts w:eastAsia="仿宋_GB2312"/>
          <w:bCs/>
          <w:color w:val="000000"/>
          <w:kern w:val="0"/>
          <w:sz w:val="32"/>
          <w:szCs w:val="32"/>
        </w:rPr>
      </w:pPr>
      <w:r>
        <w:rPr>
          <w:rFonts w:ascii="Calibri" w:hAnsi="Calibri" w:eastAsia="宋体" w:cs="Times New Roman"/>
          <w:color w:val="000000"/>
          <w:kern w:val="0"/>
          <w:sz w:val="22"/>
          <w:szCs w:val="22"/>
        </w:rPr>
        <w:t>注：单位可以根据专项资金的管理要求和绩效要求增设个性指标。</w:t>
      </w:r>
    </w:p>
    <w:p>
      <w:pPr>
        <w:tabs>
          <w:tab w:val="left" w:pos="1503"/>
        </w:tabs>
        <w:bidi w:val="0"/>
        <w:jc w:val="left"/>
        <w:rPr>
          <w:rFonts w:ascii="Times New Roman" w:hAnsi="Times New Roman" w:eastAsia="宋体" w:cs="Times New Roman"/>
          <w:kern w:val="2"/>
          <w:sz w:val="21"/>
          <w:szCs w:val="24"/>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NTYzMmRhMzQ1NTQ4ZDY5NGQ5ODM0NmFhODQxNjIifQ=="/>
  </w:docVars>
  <w:rsids>
    <w:rsidRoot w:val="288C3BE6"/>
    <w:rsid w:val="18656BBE"/>
    <w:rsid w:val="1EDB73F0"/>
    <w:rsid w:val="288C3BE6"/>
    <w:rsid w:val="528F2B00"/>
    <w:rsid w:val="6EA11428"/>
    <w:rsid w:val="72EC0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footer"/>
    <w:basedOn w:val="1"/>
    <w:unhideWhenUsed/>
    <w:qFormat/>
    <w:uiPriority w:val="0"/>
    <w:pPr>
      <w:tabs>
        <w:tab w:val="center" w:pos="4153"/>
        <w:tab w:val="right" w:pos="8306"/>
      </w:tabs>
      <w:snapToGrid w:val="0"/>
      <w:jc w:val="left"/>
    </w:pPr>
    <w:rPr>
      <w:kern w:val="0"/>
      <w:sz w:val="18"/>
      <w:szCs w:val="18"/>
    </w:rPr>
  </w:style>
  <w:style w:type="paragraph" w:styleId="7">
    <w:name w:val="Normal (Web)"/>
    <w:basedOn w:val="1"/>
    <w:qFormat/>
    <w:uiPriority w:val="0"/>
    <w:pPr>
      <w:widowControl/>
      <w:spacing w:before="100" w:beforeAutospacing="1" w:after="119"/>
      <w:jc w:val="left"/>
    </w:pPr>
    <w:rPr>
      <w:rFonts w:ascii="宋体" w:hAnsi="宋体" w:cs="宋体"/>
      <w:kern w:val="0"/>
      <w:sz w:val="24"/>
    </w:rPr>
  </w:style>
  <w:style w:type="character" w:styleId="10">
    <w:name w:val="Strong"/>
    <w:qFormat/>
    <w:uiPriority w:val="22"/>
    <w:rPr>
      <w:b/>
    </w:rPr>
  </w:style>
  <w:style w:type="paragraph" w:customStyle="1" w:styleId="11">
    <w:name w:val="_Style 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7430</Words>
  <Characters>7970</Characters>
  <Lines>0</Lines>
  <Paragraphs>0</Paragraphs>
  <TotalTime>19</TotalTime>
  <ScaleCrop>false</ScaleCrop>
  <LinksUpToDate>false</LinksUpToDate>
  <CharactersWithSpaces>8049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2023-07-10T02:13:00Z</dcterms:created>
  <dc:creator>Administrator</dc:creator>
  <cp:lastModifiedBy>忘忧草</cp:lastModifiedBy>
  <dcterms:modified xsi:type="dcterms:W3CDTF">2023-07-24T01:26:13Z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BA83740857834F5098082217628EA810_13</vt:lpwstr>
  </property>
</Properties>
</file>